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E5C56" w14:textId="77777777" w:rsidR="00223D2F" w:rsidRPr="00223D2F" w:rsidRDefault="00223D2F" w:rsidP="00223D2F">
      <w:pPr>
        <w:spacing w:after="0" w:line="240" w:lineRule="auto"/>
        <w:ind w:left="450" w:hanging="45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07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223D2F" w:rsidRPr="00223D2F" w14:paraId="00A70CF9" w14:textId="77777777" w:rsidTr="00C10B03">
        <w:trPr>
          <w:trHeight w:val="273"/>
        </w:trPr>
        <w:tc>
          <w:tcPr>
            <w:tcW w:w="2268" w:type="dxa"/>
            <w:vMerge w:val="restart"/>
            <w:hideMark/>
          </w:tcPr>
          <w:p w14:paraId="26C903E2" w14:textId="4218CEF0" w:rsidR="00223D2F" w:rsidRPr="00223D2F" w:rsidRDefault="00223D2F" w:rsidP="00223D2F">
            <w:pPr>
              <w:tabs>
                <w:tab w:val="left" w:pos="426"/>
                <w:tab w:val="left" w:pos="567"/>
                <w:tab w:val="left" w:pos="1575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223D2F">
              <w:rPr>
                <w:rFonts w:ascii="Calibri" w:eastAsia="Calibri" w:hAnsi="Calibri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30C54D0" wp14:editId="5602BCFB">
                  <wp:extent cx="987425" cy="1141095"/>
                  <wp:effectExtent l="0" t="0" r="3175" b="1905"/>
                  <wp:docPr id="1" name="Рисунок 1" descr="Bra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ra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  <w:hideMark/>
          </w:tcPr>
          <w:p w14:paraId="08A6C382" w14:textId="77777777" w:rsidR="00223D2F" w:rsidRPr="00223D2F" w:rsidRDefault="00223D2F" w:rsidP="00223D2F">
            <w:pPr>
              <w:tabs>
                <w:tab w:val="center" w:pos="4677"/>
                <w:tab w:val="right" w:pos="9355"/>
              </w:tabs>
              <w:spacing w:after="0" w:line="240" w:lineRule="auto"/>
              <w:ind w:left="-414" w:firstLine="306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223D2F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 xml:space="preserve">  Republica Moldova</w:t>
            </w:r>
          </w:p>
        </w:tc>
      </w:tr>
      <w:tr w:rsidR="00223D2F" w:rsidRPr="00223D2F" w14:paraId="392B6749" w14:textId="77777777" w:rsidTr="00C10B03">
        <w:trPr>
          <w:trHeight w:val="582"/>
        </w:trPr>
        <w:tc>
          <w:tcPr>
            <w:tcW w:w="2268" w:type="dxa"/>
            <w:vMerge/>
            <w:vAlign w:val="center"/>
            <w:hideMark/>
          </w:tcPr>
          <w:p w14:paraId="23A96F85" w14:textId="77777777" w:rsidR="00223D2F" w:rsidRPr="00223D2F" w:rsidRDefault="00223D2F" w:rsidP="00223D2F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vAlign w:val="bottom"/>
            <w:hideMark/>
          </w:tcPr>
          <w:p w14:paraId="36280A99" w14:textId="77777777" w:rsidR="00223D2F" w:rsidRPr="00223D2F" w:rsidRDefault="00223D2F" w:rsidP="00223D2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223D2F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>Agenția Națională pentru Reglementare în Energetică</w:t>
            </w:r>
          </w:p>
        </w:tc>
      </w:tr>
      <w:tr w:rsidR="00223D2F" w:rsidRPr="00223D2F" w14:paraId="6B8AF1E0" w14:textId="77777777" w:rsidTr="00C10B03">
        <w:trPr>
          <w:trHeight w:val="561"/>
        </w:trPr>
        <w:tc>
          <w:tcPr>
            <w:tcW w:w="2268" w:type="dxa"/>
            <w:vMerge/>
            <w:vAlign w:val="center"/>
            <w:hideMark/>
          </w:tcPr>
          <w:p w14:paraId="512639A1" w14:textId="77777777" w:rsidR="00223D2F" w:rsidRPr="00223D2F" w:rsidRDefault="00223D2F" w:rsidP="00223D2F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double" w:sz="4" w:space="0" w:color="4472C4"/>
              <w:right w:val="nil"/>
            </w:tcBorders>
            <w:hideMark/>
          </w:tcPr>
          <w:p w14:paraId="427DB4B9" w14:textId="77777777" w:rsidR="00223D2F" w:rsidRPr="00223D2F" w:rsidRDefault="00223D2F" w:rsidP="00223D2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223D2F"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  <w:t>ANRE</w:t>
            </w:r>
          </w:p>
        </w:tc>
      </w:tr>
      <w:tr w:rsidR="00223D2F" w:rsidRPr="00223D2F" w14:paraId="4C3AB0B7" w14:textId="77777777" w:rsidTr="00C10B03">
        <w:trPr>
          <w:trHeight w:val="301"/>
        </w:trPr>
        <w:tc>
          <w:tcPr>
            <w:tcW w:w="2268" w:type="dxa"/>
            <w:vMerge/>
            <w:vAlign w:val="center"/>
            <w:hideMark/>
          </w:tcPr>
          <w:p w14:paraId="4C6E01F4" w14:textId="77777777" w:rsidR="00223D2F" w:rsidRPr="00223D2F" w:rsidRDefault="00223D2F" w:rsidP="00223D2F">
            <w:pPr>
              <w:tabs>
                <w:tab w:val="left" w:pos="900"/>
              </w:tabs>
              <w:spacing w:after="0" w:line="24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804" w:type="dxa"/>
            <w:tcBorders>
              <w:top w:val="double" w:sz="4" w:space="0" w:color="4472C4"/>
              <w:left w:val="nil"/>
              <w:bottom w:val="nil"/>
              <w:right w:val="nil"/>
            </w:tcBorders>
            <w:hideMark/>
          </w:tcPr>
          <w:p w14:paraId="334DD6EA" w14:textId="77777777" w:rsidR="00223D2F" w:rsidRPr="00223D2F" w:rsidRDefault="00223D2F" w:rsidP="00223D2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</w:pPr>
            <w:r w:rsidRPr="00223D2F"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  <w:t>str. Alexandr Pușkin 52/A, MD 2005</w:t>
            </w:r>
            <w:r w:rsidRPr="00223D2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223D2F">
              <w:rPr>
                <w:rFonts w:ascii="Calibri" w:eastAsia="Times New Roman" w:hAnsi="Calibri" w:cs="Times New Roman"/>
                <w:sz w:val="16"/>
                <w:szCs w:val="16"/>
                <w:lang w:val="ro-RO"/>
              </w:rPr>
              <w:t xml:space="preserve">Chișinău, Tel: 022 823 955, </w:t>
            </w:r>
            <w:hyperlink r:id="rId7" w:history="1">
              <w:r w:rsidRPr="00223D2F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val="ro-RO"/>
                </w:rPr>
                <w:t>anre@anre.md</w:t>
              </w:r>
            </w:hyperlink>
            <w:r w:rsidRPr="00223D2F">
              <w:rPr>
                <w:rFonts w:ascii="Calibri" w:eastAsia="Times New Roman" w:hAnsi="Calibri" w:cs="Times New Roman"/>
                <w:sz w:val="16"/>
                <w:szCs w:val="16"/>
                <w:u w:val="single"/>
                <w:lang w:val="ro-RO"/>
              </w:rPr>
              <w:t xml:space="preserve">, </w:t>
            </w:r>
            <w:hyperlink r:id="rId8" w:history="1">
              <w:r w:rsidRPr="00223D2F">
                <w:rPr>
                  <w:rFonts w:ascii="Calibri" w:eastAsia="Times New Roman" w:hAnsi="Calibri" w:cs="Times New Roman"/>
                  <w:sz w:val="16"/>
                  <w:szCs w:val="16"/>
                  <w:u w:val="single"/>
                  <w:lang w:val="ro-RO"/>
                </w:rPr>
                <w:t>http://www.anre.md</w:t>
              </w:r>
            </w:hyperlink>
          </w:p>
        </w:tc>
      </w:tr>
    </w:tbl>
    <w:p w14:paraId="029A30EE" w14:textId="77777777" w:rsidR="00223D2F" w:rsidRPr="00223D2F" w:rsidRDefault="00223D2F" w:rsidP="0022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</w:p>
    <w:p w14:paraId="7053C2C5" w14:textId="77777777" w:rsidR="00223D2F" w:rsidRPr="00223D2F" w:rsidRDefault="00223D2F" w:rsidP="0022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ar-SA"/>
        </w:rPr>
      </w:pPr>
      <w:r w:rsidRPr="00223D2F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ar-SA"/>
        </w:rPr>
        <w:t>CONSILIUL DE ADMINISTRAȚIE</w:t>
      </w:r>
    </w:p>
    <w:p w14:paraId="5863F521" w14:textId="77777777" w:rsidR="00223D2F" w:rsidRPr="00223D2F" w:rsidRDefault="00223D2F" w:rsidP="0022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ar-SA"/>
        </w:rPr>
      </w:pPr>
      <w:r w:rsidRPr="00223D2F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ar-SA"/>
        </w:rPr>
        <w:t xml:space="preserve">HOTĂRÂRE nr. </w:t>
      </w:r>
    </w:p>
    <w:p w14:paraId="0DBFE39C" w14:textId="77777777" w:rsidR="00223D2F" w:rsidRPr="00223D2F" w:rsidRDefault="00223D2F" w:rsidP="0022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223D2F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>din  .............  2025</w:t>
      </w:r>
    </w:p>
    <w:p w14:paraId="158B8B60" w14:textId="77777777" w:rsidR="00223D2F" w:rsidRPr="00223D2F" w:rsidRDefault="00223D2F" w:rsidP="0022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223D2F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>mun. Chișinău</w:t>
      </w:r>
    </w:p>
    <w:p w14:paraId="256EA217" w14:textId="77777777" w:rsidR="00223D2F" w:rsidRPr="00223D2F" w:rsidRDefault="00223D2F" w:rsidP="00223D2F">
      <w:pPr>
        <w:tabs>
          <w:tab w:val="left" w:pos="9639"/>
        </w:tabs>
        <w:spacing w:before="240" w:after="0" w:line="240" w:lineRule="auto"/>
        <w:ind w:right="-425" w:firstLine="72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23D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  </w:t>
      </w:r>
    </w:p>
    <w:p w14:paraId="204D1962" w14:textId="77777777" w:rsidR="00223D2F" w:rsidRPr="00223D2F" w:rsidRDefault="00223D2F" w:rsidP="00223D2F">
      <w:pPr>
        <w:tabs>
          <w:tab w:val="left" w:pos="5940"/>
        </w:tabs>
        <w:autoSpaceDE w:val="0"/>
        <w:autoSpaceDN w:val="0"/>
        <w:adjustRightInd w:val="0"/>
        <w:spacing w:before="75" w:after="0" w:line="240" w:lineRule="auto"/>
        <w:ind w:firstLine="5670"/>
        <w:rPr>
          <w:rFonts w:ascii="Arial" w:eastAsia="Times New Roman" w:hAnsi="Arial" w:cs="Arial"/>
          <w:sz w:val="26"/>
          <w:szCs w:val="26"/>
          <w:lang w:val="ro-RO" w:eastAsia="ru-RU"/>
        </w:rPr>
      </w:pPr>
    </w:p>
    <w:p w14:paraId="48D393F3" w14:textId="77777777" w:rsidR="00223D2F" w:rsidRPr="00223D2F" w:rsidRDefault="00223D2F" w:rsidP="002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23D2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cu privire  la aprobarea Metodologiei de calculare, aprobare și aplicare a prețurilor reglementate pentru furnizarea energiei electrice de către furnizorul de ultima opțiune și furnizorul serviciului universal</w:t>
      </w:r>
    </w:p>
    <w:p w14:paraId="77DFB8D3" w14:textId="77777777" w:rsidR="00223D2F" w:rsidRPr="00223D2F" w:rsidRDefault="00223D2F" w:rsidP="002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5CC277E7" w14:textId="77777777" w:rsidR="00223D2F" w:rsidRPr="00223D2F" w:rsidRDefault="00223D2F" w:rsidP="00223D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23D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temeiul </w:t>
      </w:r>
      <w:r w:rsidRPr="00223D2F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art. 9 alin. (1) lit. l</w:t>
      </w:r>
      <w:r w:rsidRPr="00223D2F">
        <w:rPr>
          <w:rFonts w:ascii="Times New Roman" w:eastAsia="Times New Roman" w:hAnsi="Times New Roman" w:cs="Times New Roman"/>
          <w:sz w:val="26"/>
          <w:szCs w:val="26"/>
          <w:lang w:val="ro-RO"/>
        </w:rPr>
        <w:t>) din Legea nr. 164/2025 cu privire la energia electrică (Monitorul Oficial al Republicii Moldova, 2025, nr. 437-440, art. 598), Consiliul de administrație al Agenției</w:t>
      </w:r>
      <w:r w:rsidRPr="00223D2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Naționale pentru Reglementare în Energetică </w:t>
      </w:r>
    </w:p>
    <w:p w14:paraId="2B7EBF7F" w14:textId="77777777" w:rsidR="00223D2F" w:rsidRPr="00223D2F" w:rsidRDefault="00223D2F" w:rsidP="00223D2F">
      <w:pPr>
        <w:tabs>
          <w:tab w:val="center" w:pos="4320"/>
          <w:tab w:val="right" w:pos="8640"/>
        </w:tabs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ro-RO"/>
        </w:rPr>
      </w:pPr>
      <w:r w:rsidRPr="00223D2F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ro-RO"/>
        </w:rPr>
        <w:t>H O T Ă R Ă Ş T E:</w:t>
      </w:r>
    </w:p>
    <w:p w14:paraId="3885382A" w14:textId="77777777" w:rsidR="00223D2F" w:rsidRPr="00223D2F" w:rsidRDefault="00223D2F" w:rsidP="00223D2F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23D2F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Se aprobă Metodologia de calculare, aprobare și aplicare a prețurilor reglementate pentru furnizarea energiei electrice de către furnizorul de ultima opțiune și furnizorul serviciului universal (se anexează).</w:t>
      </w:r>
    </w:p>
    <w:p w14:paraId="69C8729B" w14:textId="77777777" w:rsidR="00223D2F" w:rsidRPr="00223D2F" w:rsidRDefault="00223D2F" w:rsidP="00223D2F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223D2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Se abrogă Metodologia de calculare, aprobare și aplicare a </w:t>
      </w:r>
      <w:r w:rsidRPr="00223D2F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prețurilor reglementate pentru furnizarea energiei electrice de către furnizorul de ultima opțiune și furnizorul serviciului universal</w:t>
      </w:r>
      <w:r w:rsidRPr="00223D2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aprobată prin Hotărârea Consiliului de administrație al Agenției Naționale pentru Reglementare în Energetică nr. 65/2018 (Monitorul Oficial al Republicii Moldova</w:t>
      </w:r>
      <w:r w:rsidRPr="00223D2F">
        <w:rPr>
          <w:rFonts w:ascii="Times New Roman" w:eastAsia="Calibri" w:hAnsi="Times New Roman" w:cs="Times New Roman"/>
          <w:bCs/>
          <w:sz w:val="26"/>
          <w:szCs w:val="26"/>
          <w:lang w:val="es-ES"/>
        </w:rPr>
        <w:t>, 2018,</w:t>
      </w:r>
      <w:r w:rsidRPr="00223D2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nr. 77-83, art. 375</w:t>
      </w:r>
      <w:r w:rsidRPr="00223D2F">
        <w:rPr>
          <w:rFonts w:ascii="Times New Roman" w:eastAsia="Calibri" w:hAnsi="Times New Roman" w:cs="Times New Roman"/>
          <w:bCs/>
          <w:sz w:val="26"/>
          <w:szCs w:val="26"/>
          <w:lang w:val="es-ES"/>
        </w:rPr>
        <w:t>)</w:t>
      </w:r>
      <w:r w:rsidRPr="00223D2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înregistrată la Ministerul Justiției cu nr. 1304 din 28 februarie 2018.  </w:t>
      </w:r>
    </w:p>
    <w:p w14:paraId="49E18BDC" w14:textId="77777777" w:rsidR="00223D2F" w:rsidRPr="00223D2F" w:rsidRDefault="00223D2F" w:rsidP="00223D2F">
      <w:pPr>
        <w:numPr>
          <w:ilvl w:val="0"/>
          <w:numId w:val="17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223D2F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Controlul asupra executării prezentei Hotărâri se pune în sarcina subdiviziunilor Agenției Naționale pentru Reglementare în Energetică. </w:t>
      </w:r>
    </w:p>
    <w:p w14:paraId="6CBF51CF" w14:textId="77777777" w:rsidR="00223D2F" w:rsidRPr="00223D2F" w:rsidRDefault="00223D2F" w:rsidP="00223D2F">
      <w:pPr>
        <w:spacing w:before="120" w:after="12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</w:p>
    <w:p w14:paraId="02B258B5" w14:textId="77777777" w:rsidR="00223D2F" w:rsidRPr="00223D2F" w:rsidRDefault="00223D2F" w:rsidP="00223D2F">
      <w:pPr>
        <w:spacing w:before="120" w:after="12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</w:p>
    <w:p w14:paraId="0F01B774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      </w:t>
      </w: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Alexei TARAN</w:t>
      </w:r>
    </w:p>
    <w:p w14:paraId="4FE78A40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 general</w:t>
      </w:r>
    </w:p>
    <w:p w14:paraId="00AF9112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6A5D0E84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Constantin BOROSAN</w:t>
      </w:r>
    </w:p>
    <w:p w14:paraId="0F02D9E4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7B6DA909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38FABABA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Eugen CARPOV</w:t>
      </w:r>
    </w:p>
    <w:p w14:paraId="05DA402D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20DCA038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4AFB3BB7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Violina ȘPAC</w:t>
      </w:r>
    </w:p>
    <w:p w14:paraId="232EBE3D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5344ED12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1647AD40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Alexandru URSU</w:t>
      </w:r>
    </w:p>
    <w:p w14:paraId="56CE1E54" w14:textId="77777777" w:rsidR="00223D2F" w:rsidRPr="00223D2F" w:rsidRDefault="00223D2F" w:rsidP="00223D2F">
      <w:pPr>
        <w:tabs>
          <w:tab w:val="left" w:pos="9356"/>
        </w:tabs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223D2F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Director</w:t>
      </w:r>
    </w:p>
    <w:p w14:paraId="6B773AD1" w14:textId="57DEDBE4" w:rsidR="00223D2F" w:rsidRDefault="00223D2F" w:rsidP="009361AC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w:bookmarkStart w:id="0" w:name="_GoBack"/>
      <w:bookmarkEnd w:id="0"/>
    </w:p>
    <w:p w14:paraId="50BE2D02" w14:textId="3950CA8C" w:rsidR="00C438BD" w:rsidRPr="00231B67" w:rsidRDefault="00A91805" w:rsidP="005814E5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Proiect</w:t>
      </w:r>
    </w:p>
    <w:p w14:paraId="2AD1754D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METODOLOGIA</w:t>
      </w:r>
    </w:p>
    <w:p w14:paraId="408DE111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de calculare, aprobare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şi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aplicare 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 pentru</w:t>
      </w:r>
    </w:p>
    <w:p w14:paraId="1E0017B4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furnizarea energiei electrice de către furnizorul de ultimă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opţiune</w:t>
      </w:r>
      <w:proofErr w:type="spellEnd"/>
    </w:p>
    <w:p w14:paraId="049A15A8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şi furnizorul serviciului universal</w:t>
      </w:r>
    </w:p>
    <w:p w14:paraId="263D898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1D1BC10" w14:textId="77777777" w:rsidR="00C438BD" w:rsidRPr="008B26F6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1</w:t>
      </w:r>
    </w:p>
    <w:p w14:paraId="06287840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Dispoziţii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generale</w:t>
      </w:r>
    </w:p>
    <w:p w14:paraId="5999D8D5" w14:textId="7E9C2A3A" w:rsidR="00C438BD" w:rsidRPr="00231B67" w:rsidRDefault="00C438BD" w:rsidP="0008358D">
      <w:pPr>
        <w:pStyle w:val="a7"/>
        <w:numPr>
          <w:ilvl w:val="0"/>
          <w:numId w:val="2"/>
        </w:numPr>
        <w:tabs>
          <w:tab w:val="left" w:pos="993"/>
        </w:tabs>
        <w:spacing w:before="120"/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Metodologia de calculare, aprobare </w:t>
      </w:r>
      <w:proofErr w:type="spellStart"/>
      <w:r w:rsidRPr="00231B67">
        <w:rPr>
          <w:sz w:val="24"/>
          <w:szCs w:val="24"/>
          <w:lang w:val="ro-MD" w:eastAsia="ru-RU"/>
        </w:rPr>
        <w:t>şi</w:t>
      </w:r>
      <w:proofErr w:type="spellEnd"/>
      <w:r w:rsidRPr="00231B67">
        <w:rPr>
          <w:sz w:val="24"/>
          <w:szCs w:val="24"/>
          <w:lang w:val="ro-MD" w:eastAsia="ru-RU"/>
        </w:rPr>
        <w:t xml:space="preserve"> aplicare a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pentru furnizarea energiei electrice de către furnizorul de ultimă </w:t>
      </w:r>
      <w:proofErr w:type="spellStart"/>
      <w:r w:rsidRPr="00231B67">
        <w:rPr>
          <w:sz w:val="24"/>
          <w:szCs w:val="24"/>
          <w:lang w:val="ro-MD" w:eastAsia="ru-RU"/>
        </w:rPr>
        <w:t>opţiune</w:t>
      </w:r>
      <w:proofErr w:type="spellEnd"/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sz w:val="24"/>
          <w:szCs w:val="24"/>
          <w:lang w:val="ro-MD" w:eastAsia="ru-RU"/>
        </w:rPr>
        <w:t>şi</w:t>
      </w:r>
      <w:proofErr w:type="spellEnd"/>
      <w:r w:rsidRPr="00231B67">
        <w:rPr>
          <w:sz w:val="24"/>
          <w:szCs w:val="24"/>
          <w:lang w:val="ro-MD" w:eastAsia="ru-RU"/>
        </w:rPr>
        <w:t xml:space="preserve"> furnizorul serviciului universal (în continuare</w:t>
      </w:r>
      <w:r w:rsidR="00D30817" w:rsidRPr="00231B67">
        <w:rPr>
          <w:sz w:val="24"/>
          <w:szCs w:val="24"/>
          <w:lang w:val="ro-MD" w:eastAsia="ru-RU"/>
        </w:rPr>
        <w:t xml:space="preserve"> –</w:t>
      </w:r>
      <w:r w:rsidR="00156863" w:rsidRPr="00231B67">
        <w:rPr>
          <w:sz w:val="24"/>
          <w:szCs w:val="24"/>
          <w:lang w:val="ro-MD" w:eastAsia="ru-RU"/>
        </w:rPr>
        <w:t xml:space="preserve"> </w:t>
      </w:r>
      <w:r w:rsidRPr="00231B67">
        <w:rPr>
          <w:sz w:val="24"/>
          <w:szCs w:val="24"/>
          <w:lang w:val="ro-MD" w:eastAsia="ru-RU"/>
        </w:rPr>
        <w:t xml:space="preserve">Metodologie) are ca scop stabilirea modului de calcul al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pentru furnizarea energiei electrice de către furnizorii serviciului universal </w:t>
      </w:r>
      <w:proofErr w:type="spellStart"/>
      <w:r w:rsidRPr="00231B67">
        <w:rPr>
          <w:sz w:val="24"/>
          <w:szCs w:val="24"/>
          <w:lang w:val="ro-MD" w:eastAsia="ru-RU"/>
        </w:rPr>
        <w:t>şi</w:t>
      </w:r>
      <w:proofErr w:type="spellEnd"/>
      <w:r w:rsidRPr="00231B67">
        <w:rPr>
          <w:sz w:val="24"/>
          <w:szCs w:val="24"/>
          <w:lang w:val="ro-MD" w:eastAsia="ru-RU"/>
        </w:rPr>
        <w:t xml:space="preserve"> de ultimă </w:t>
      </w:r>
      <w:proofErr w:type="spellStart"/>
      <w:r w:rsidRPr="00231B67">
        <w:rPr>
          <w:sz w:val="24"/>
          <w:szCs w:val="24"/>
          <w:lang w:val="ro-MD" w:eastAsia="ru-RU"/>
        </w:rPr>
        <w:t>opţiune</w:t>
      </w:r>
      <w:proofErr w:type="spellEnd"/>
      <w:r w:rsidRPr="00231B67">
        <w:rPr>
          <w:sz w:val="24"/>
          <w:szCs w:val="24"/>
          <w:lang w:val="ro-MD" w:eastAsia="ru-RU"/>
        </w:rPr>
        <w:t xml:space="preserve"> (în continuare – Furnizor).</w:t>
      </w:r>
    </w:p>
    <w:p w14:paraId="7E205C4F" w14:textId="3EB4589A" w:rsidR="00C438BD" w:rsidRPr="00231B67" w:rsidRDefault="00C438BD" w:rsidP="0008358D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Metodologia </w:t>
      </w:r>
      <w:proofErr w:type="spellStart"/>
      <w:r w:rsidRPr="00231B67">
        <w:rPr>
          <w:sz w:val="24"/>
          <w:szCs w:val="24"/>
          <w:lang w:val="ro-MD" w:eastAsia="ru-RU"/>
        </w:rPr>
        <w:t>stabileşte</w:t>
      </w:r>
      <w:proofErr w:type="spellEnd"/>
      <w:r w:rsidRPr="00231B67">
        <w:rPr>
          <w:sz w:val="24"/>
          <w:szCs w:val="24"/>
          <w:lang w:val="ro-MD" w:eastAsia="ru-RU"/>
        </w:rPr>
        <w:t>:</w:t>
      </w:r>
    </w:p>
    <w:p w14:paraId="3A824959" w14:textId="7B7A2F58" w:rsidR="00C438BD" w:rsidRPr="00231B67" w:rsidRDefault="00156863" w:rsidP="0008358D">
      <w:pPr>
        <w:pStyle w:val="a7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principiile şi algoritmul de calcul al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7C5F2A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>furnizarea energiei electrice;</w:t>
      </w:r>
    </w:p>
    <w:p w14:paraId="33449E8B" w14:textId="192950ED" w:rsidR="00C438BD" w:rsidRPr="00231B67" w:rsidRDefault="00156863" w:rsidP="0008358D">
      <w:pPr>
        <w:pStyle w:val="a7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modul de determinare, de ajustare şi de aprobare a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8209FE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 xml:space="preserve"> furnizarea energiei electrice, </w:t>
      </w:r>
      <w:proofErr w:type="spellStart"/>
      <w:r w:rsidR="00C438BD" w:rsidRPr="00231B67">
        <w:rPr>
          <w:sz w:val="24"/>
          <w:szCs w:val="24"/>
          <w:lang w:val="ro-MD" w:eastAsia="ru-RU"/>
        </w:rPr>
        <w:t>diferenţiate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r w:rsidR="007C5F2A" w:rsidRPr="00231B67">
        <w:rPr>
          <w:sz w:val="24"/>
          <w:szCs w:val="24"/>
          <w:lang w:val="ro-MD" w:eastAsia="ru-RU"/>
        </w:rPr>
        <w:t>în func</w:t>
      </w:r>
      <w:r w:rsidR="00C438BD" w:rsidRPr="00231B67">
        <w:rPr>
          <w:sz w:val="24"/>
          <w:szCs w:val="24"/>
          <w:lang w:val="ro-MD" w:eastAsia="ru-RU"/>
        </w:rPr>
        <w:t xml:space="preserve">ție de nivelurile de tensiune ale </w:t>
      </w:r>
      <w:proofErr w:type="spellStart"/>
      <w:r w:rsidR="00C438BD" w:rsidRPr="00231B67">
        <w:rPr>
          <w:sz w:val="24"/>
          <w:szCs w:val="24"/>
          <w:lang w:val="ro-MD" w:eastAsia="ru-RU"/>
        </w:rPr>
        <w:t>reţelelor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electrice de </w:t>
      </w:r>
      <w:proofErr w:type="spellStart"/>
      <w:r w:rsidR="00C438BD" w:rsidRPr="00231B67">
        <w:rPr>
          <w:sz w:val="24"/>
          <w:szCs w:val="24"/>
          <w:lang w:val="ro-MD" w:eastAsia="ru-RU"/>
        </w:rPr>
        <w:t>distribuţie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prin care se livrează energie electrică consumatorilor finali, în </w:t>
      </w:r>
      <w:proofErr w:type="spellStart"/>
      <w:r w:rsidR="00C438BD" w:rsidRPr="00231B67">
        <w:rPr>
          <w:sz w:val="24"/>
          <w:szCs w:val="24"/>
          <w:lang w:val="ro-MD" w:eastAsia="ru-RU"/>
        </w:rPr>
        <w:t>funcţie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</w:t>
      </w:r>
      <w:r w:rsidR="00C41B63">
        <w:rPr>
          <w:sz w:val="24"/>
          <w:szCs w:val="24"/>
          <w:lang w:val="ro-MD" w:eastAsia="ru-RU"/>
        </w:rPr>
        <w:t>orele de consum</w:t>
      </w:r>
      <w:r w:rsidR="00C438BD" w:rsidRPr="00231B67">
        <w:rPr>
          <w:sz w:val="24"/>
          <w:szCs w:val="24"/>
          <w:lang w:val="ro-MD" w:eastAsia="ru-RU"/>
        </w:rPr>
        <w:t xml:space="preserve"> şi de modul de achitare pentru energia electrică furnizată consumatorilor finali;</w:t>
      </w:r>
    </w:p>
    <w:p w14:paraId="6A8311B6" w14:textId="2BA2C434" w:rsidR="00C438BD" w:rsidRPr="00231B67" w:rsidRDefault="00156863" w:rsidP="0008358D">
      <w:pPr>
        <w:pStyle w:val="a7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componenţa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, modul de determinare şi de includere în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8209FE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 xml:space="preserve">furnizarea energiei electrice a costurilor şi a cheltuielilor aferente doar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în contextul </w:t>
      </w:r>
      <w:proofErr w:type="spellStart"/>
      <w:r w:rsidR="00C438BD" w:rsidRPr="00231B67">
        <w:rPr>
          <w:sz w:val="24"/>
          <w:szCs w:val="24"/>
          <w:lang w:val="ro-MD" w:eastAsia="ru-RU"/>
        </w:rPr>
        <w:t>obligaţiei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serviciu public de a presta serviciu</w:t>
      </w:r>
      <w:r w:rsidR="00413C7C">
        <w:rPr>
          <w:sz w:val="24"/>
          <w:szCs w:val="24"/>
          <w:lang w:val="ro-MD" w:eastAsia="ru-RU"/>
        </w:rPr>
        <w:t>l</w:t>
      </w:r>
      <w:r w:rsidR="00C438BD" w:rsidRPr="00231B67">
        <w:rPr>
          <w:sz w:val="24"/>
          <w:szCs w:val="24"/>
          <w:lang w:val="ro-MD" w:eastAsia="ru-RU"/>
        </w:rPr>
        <w:t xml:space="preserve"> universal şi/sau de a asigura furnizarea de ultimă </w:t>
      </w:r>
      <w:proofErr w:type="spellStart"/>
      <w:r w:rsidR="00C438BD" w:rsidRPr="00231B67">
        <w:rPr>
          <w:sz w:val="24"/>
          <w:szCs w:val="24"/>
          <w:lang w:val="ro-MD" w:eastAsia="ru-RU"/>
        </w:rPr>
        <w:t>opţiune</w:t>
      </w:r>
      <w:proofErr w:type="spellEnd"/>
      <w:r w:rsidR="00C438BD" w:rsidRPr="00231B67">
        <w:rPr>
          <w:sz w:val="24"/>
          <w:szCs w:val="24"/>
          <w:lang w:val="ro-MD" w:eastAsia="ru-RU"/>
        </w:rPr>
        <w:t>;</w:t>
      </w:r>
    </w:p>
    <w:p w14:paraId="414B5D71" w14:textId="704EE76B" w:rsidR="00C438BD" w:rsidRPr="00231B67" w:rsidRDefault="00156863" w:rsidP="0008358D">
      <w:pPr>
        <w:pStyle w:val="a7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>modul de determinare a costului energiei electrice procurate, a cheltuielilor suportate în legătură cu prestarea Furnizorului a serviciilor de transport şi de distribuţie a energiei electrice de către operatorul sistemului de transport şi de operatorul sistemului de distribuţie;</w:t>
      </w:r>
    </w:p>
    <w:p w14:paraId="034C883A" w14:textId="1E10F0EE" w:rsidR="00C438BD" w:rsidRPr="00231B67" w:rsidRDefault="00156863" w:rsidP="0008358D">
      <w:pPr>
        <w:pStyle w:val="a7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modul de determinare şi de aprobare a costurilor şi a cheltuielilor Furnizorului aferente doar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pentru primul an </w:t>
      </w:r>
      <w:r w:rsidR="00461955" w:rsidRPr="00231B67">
        <w:rPr>
          <w:sz w:val="24"/>
          <w:szCs w:val="24"/>
          <w:lang w:val="ro-MD" w:eastAsia="ru-RU"/>
        </w:rPr>
        <w:t>al perioadei de reglementare</w:t>
      </w:r>
      <w:r w:rsidR="00D6579D" w:rsidRPr="00231B67">
        <w:rPr>
          <w:sz w:val="24"/>
          <w:szCs w:val="24"/>
          <w:lang w:val="ro-MD" w:eastAsia="ru-RU"/>
        </w:rPr>
        <w:t xml:space="preserve"> – </w:t>
      </w:r>
      <w:r w:rsidR="00C438BD" w:rsidRPr="00231B67">
        <w:rPr>
          <w:sz w:val="24"/>
          <w:szCs w:val="24"/>
          <w:lang w:val="ro-MD" w:eastAsia="ru-RU"/>
        </w:rPr>
        <w:t xml:space="preserve"> anul de bază;</w:t>
      </w:r>
    </w:p>
    <w:p w14:paraId="2A12DA2F" w14:textId="0AF79416" w:rsidR="00C438BD" w:rsidRPr="00231B67" w:rsidRDefault="00156863" w:rsidP="0008358D">
      <w:pPr>
        <w:pStyle w:val="a7"/>
        <w:numPr>
          <w:ilvl w:val="0"/>
          <w:numId w:val="7"/>
        </w:numPr>
        <w:tabs>
          <w:tab w:val="left" w:pos="993"/>
        </w:tabs>
        <w:ind w:left="1276" w:hanging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modul de actualizare a costurilor şi a cheltuielilor Furnizorului aferente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pentru perioada ulterioară anului de bază.</w:t>
      </w:r>
    </w:p>
    <w:p w14:paraId="304910FF" w14:textId="0B5AF0E4" w:rsidR="003868BE" w:rsidRPr="00231B67" w:rsidRDefault="003868BE" w:rsidP="0008358D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sensul prezentei Metodologii se </w:t>
      </w:r>
      <w:r w:rsidR="00413C7C">
        <w:rPr>
          <w:sz w:val="24"/>
          <w:szCs w:val="24"/>
          <w:lang w:val="ro-MD" w:eastAsia="ru-RU"/>
        </w:rPr>
        <w:t>utilizează noțiunile definite în Legea</w:t>
      </w:r>
      <w:r w:rsidR="008B26F6">
        <w:rPr>
          <w:sz w:val="24"/>
          <w:szCs w:val="24"/>
          <w:lang w:val="ro-MD" w:eastAsia="ru-RU"/>
        </w:rPr>
        <w:t xml:space="preserve"> nr. 164/2025</w:t>
      </w:r>
      <w:r w:rsidR="00413C7C">
        <w:rPr>
          <w:sz w:val="24"/>
          <w:szCs w:val="24"/>
          <w:lang w:val="ro-MD" w:eastAsia="ru-RU"/>
        </w:rPr>
        <w:t xml:space="preserve"> cu privire la energia electrică, precum și </w:t>
      </w:r>
      <w:r w:rsidRPr="00231B67">
        <w:rPr>
          <w:sz w:val="24"/>
          <w:szCs w:val="24"/>
          <w:lang w:val="ro-MD" w:eastAsia="ru-RU"/>
        </w:rPr>
        <w:t xml:space="preserve">următoarele noțiuni: </w:t>
      </w:r>
    </w:p>
    <w:p w14:paraId="7E1DE1E5" w14:textId="3AD8101A" w:rsidR="003868BE" w:rsidRPr="00231B67" w:rsidRDefault="00413C7C" w:rsidP="0008358D">
      <w:pPr>
        <w:pStyle w:val="a7"/>
        <w:tabs>
          <w:tab w:val="left" w:pos="993"/>
        </w:tabs>
        <w:spacing w:before="120"/>
        <w:ind w:left="0" w:firstLine="567"/>
        <w:jc w:val="both"/>
        <w:rPr>
          <w:sz w:val="24"/>
          <w:szCs w:val="24"/>
          <w:lang w:val="ro-MD" w:eastAsia="ru-RU"/>
        </w:rPr>
      </w:pPr>
      <w:r>
        <w:rPr>
          <w:b/>
          <w:sz w:val="24"/>
          <w:szCs w:val="24"/>
          <w:lang w:val="ro-MD" w:eastAsia="ru-RU"/>
        </w:rPr>
        <w:t>p</w:t>
      </w:r>
      <w:r w:rsidR="003868BE" w:rsidRPr="00231B67">
        <w:rPr>
          <w:b/>
          <w:sz w:val="24"/>
          <w:szCs w:val="24"/>
          <w:lang w:val="ro-MD" w:eastAsia="ru-RU"/>
        </w:rPr>
        <w:t xml:space="preserve">erioadă de reglementare </w:t>
      </w:r>
      <w:r w:rsidR="003868BE" w:rsidRPr="00231B67">
        <w:rPr>
          <w:sz w:val="24"/>
          <w:szCs w:val="24"/>
          <w:lang w:val="ro-MD" w:eastAsia="ru-RU"/>
        </w:rPr>
        <w:t xml:space="preserve">– ciclu alternat de 5 ani pentru care se </w:t>
      </w:r>
      <w:r w:rsidR="006314CE" w:rsidRPr="00231B67">
        <w:rPr>
          <w:sz w:val="24"/>
          <w:szCs w:val="24"/>
          <w:lang w:val="ro-MD" w:eastAsia="ru-RU"/>
        </w:rPr>
        <w:t>stabilesc și aplică costurile</w:t>
      </w:r>
      <w:r w:rsidR="003868BE" w:rsidRPr="00231B67">
        <w:rPr>
          <w:sz w:val="24"/>
          <w:szCs w:val="24"/>
          <w:lang w:val="ro-MD" w:eastAsia="ru-RU"/>
        </w:rPr>
        <w:t xml:space="preserve"> de bază;</w:t>
      </w:r>
    </w:p>
    <w:p w14:paraId="5B701789" w14:textId="0DEE94E8" w:rsidR="006314CE" w:rsidRPr="00231B67" w:rsidRDefault="00413C7C" w:rsidP="0008358D">
      <w:pPr>
        <w:pStyle w:val="a7"/>
        <w:tabs>
          <w:tab w:val="left" w:pos="993"/>
        </w:tabs>
        <w:spacing w:before="120"/>
        <w:ind w:left="0" w:firstLine="567"/>
        <w:jc w:val="both"/>
        <w:rPr>
          <w:sz w:val="24"/>
          <w:szCs w:val="24"/>
          <w:lang w:val="ro-MD" w:eastAsia="ru-RU"/>
        </w:rPr>
      </w:pPr>
      <w:r>
        <w:rPr>
          <w:b/>
          <w:sz w:val="24"/>
          <w:szCs w:val="24"/>
          <w:lang w:val="ro-MD" w:eastAsia="ru-RU"/>
        </w:rPr>
        <w:t>c</w:t>
      </w:r>
      <w:r w:rsidR="006314CE" w:rsidRPr="00231B67">
        <w:rPr>
          <w:b/>
          <w:sz w:val="24"/>
          <w:szCs w:val="24"/>
          <w:lang w:val="ro-MD" w:eastAsia="ru-RU"/>
        </w:rPr>
        <w:t>osturi de bază</w:t>
      </w:r>
      <w:r w:rsidR="006314CE" w:rsidRPr="00231B67">
        <w:rPr>
          <w:sz w:val="24"/>
          <w:szCs w:val="24"/>
          <w:lang w:val="ro-MD" w:eastAsia="ru-RU"/>
        </w:rPr>
        <w:t xml:space="preserve"> – costurile de personal, costurile materiale, costurile serviciilor prestate de terți</w:t>
      </w:r>
      <w:r w:rsidR="00A863D5" w:rsidRPr="00231B67">
        <w:rPr>
          <w:sz w:val="24"/>
          <w:szCs w:val="24"/>
          <w:lang w:val="ro-MD" w:eastAsia="ru-RU"/>
        </w:rPr>
        <w:t xml:space="preserve">, </w:t>
      </w:r>
      <w:r w:rsidR="006314CE" w:rsidRPr="00231B67">
        <w:rPr>
          <w:sz w:val="24"/>
          <w:szCs w:val="24"/>
          <w:lang w:val="ro-MD" w:eastAsia="ru-RU"/>
        </w:rPr>
        <w:t xml:space="preserve">care sunt examinate </w:t>
      </w:r>
      <w:proofErr w:type="spellStart"/>
      <w:r w:rsidR="006314CE" w:rsidRPr="00231B67">
        <w:rPr>
          <w:sz w:val="24"/>
          <w:szCs w:val="24"/>
          <w:lang w:val="ro-MD" w:eastAsia="ru-RU"/>
        </w:rPr>
        <w:t>şi</w:t>
      </w:r>
      <w:proofErr w:type="spellEnd"/>
      <w:r w:rsidR="006314CE" w:rsidRPr="00231B67">
        <w:rPr>
          <w:sz w:val="24"/>
          <w:szCs w:val="24"/>
          <w:lang w:val="ro-MD" w:eastAsia="ru-RU"/>
        </w:rPr>
        <w:t xml:space="preserve"> aprobate de </w:t>
      </w:r>
      <w:proofErr w:type="spellStart"/>
      <w:r w:rsidR="006314CE" w:rsidRPr="00231B67">
        <w:rPr>
          <w:sz w:val="24"/>
          <w:szCs w:val="24"/>
          <w:lang w:val="ro-MD" w:eastAsia="ru-RU"/>
        </w:rPr>
        <w:t>Agenţie</w:t>
      </w:r>
      <w:proofErr w:type="spellEnd"/>
      <w:r w:rsidR="006314CE" w:rsidRPr="00231B67">
        <w:rPr>
          <w:sz w:val="24"/>
          <w:szCs w:val="24"/>
          <w:lang w:val="ro-MD" w:eastAsia="ru-RU"/>
        </w:rPr>
        <w:t xml:space="preserve"> pentru anul de bază;</w:t>
      </w:r>
    </w:p>
    <w:p w14:paraId="7643BAA8" w14:textId="556CD58F" w:rsidR="006314CE" w:rsidRPr="00231B67" w:rsidRDefault="00413C7C" w:rsidP="0008358D">
      <w:pPr>
        <w:pStyle w:val="a7"/>
        <w:tabs>
          <w:tab w:val="left" w:pos="993"/>
        </w:tabs>
        <w:spacing w:before="120"/>
        <w:ind w:left="0" w:firstLine="567"/>
        <w:jc w:val="both"/>
        <w:rPr>
          <w:sz w:val="24"/>
          <w:szCs w:val="24"/>
          <w:lang w:val="ro-MD" w:eastAsia="ru-RU"/>
        </w:rPr>
      </w:pPr>
      <w:r>
        <w:rPr>
          <w:b/>
          <w:sz w:val="24"/>
          <w:szCs w:val="24"/>
          <w:lang w:val="ro-MD" w:eastAsia="ru-RU"/>
        </w:rPr>
        <w:t>a</w:t>
      </w:r>
      <w:r w:rsidR="006314CE" w:rsidRPr="00231B67">
        <w:rPr>
          <w:b/>
          <w:sz w:val="24"/>
          <w:szCs w:val="24"/>
          <w:lang w:val="ro-MD" w:eastAsia="ru-RU"/>
        </w:rPr>
        <w:t>n de bază</w:t>
      </w:r>
      <w:r w:rsidR="006314CE" w:rsidRPr="00231B67">
        <w:rPr>
          <w:sz w:val="24"/>
          <w:szCs w:val="24"/>
          <w:lang w:val="ro-MD" w:eastAsia="ru-RU"/>
        </w:rPr>
        <w:t xml:space="preserve"> – primul an al perioadei de reglementare a prețurilor de furnizare a energiei electrice de către furnizorul de ultimă </w:t>
      </w:r>
      <w:proofErr w:type="spellStart"/>
      <w:r w:rsidR="006314CE" w:rsidRPr="00231B67">
        <w:rPr>
          <w:sz w:val="24"/>
          <w:szCs w:val="24"/>
          <w:lang w:val="ro-MD" w:eastAsia="ru-RU"/>
        </w:rPr>
        <w:t>opţiune</w:t>
      </w:r>
      <w:proofErr w:type="spellEnd"/>
      <w:r w:rsidR="006314CE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6314CE" w:rsidRPr="00231B67">
        <w:rPr>
          <w:sz w:val="24"/>
          <w:szCs w:val="24"/>
          <w:lang w:val="ro-MD" w:eastAsia="ru-RU"/>
        </w:rPr>
        <w:t>şi</w:t>
      </w:r>
      <w:proofErr w:type="spellEnd"/>
      <w:r w:rsidR="006314CE" w:rsidRPr="00231B67">
        <w:rPr>
          <w:sz w:val="24"/>
          <w:szCs w:val="24"/>
          <w:lang w:val="ro-MD" w:eastAsia="ru-RU"/>
        </w:rPr>
        <w:t xml:space="preserve"> furnizorul serviciului universal</w:t>
      </w:r>
      <w:r w:rsidR="00F11A61">
        <w:rPr>
          <w:sz w:val="24"/>
          <w:szCs w:val="24"/>
          <w:lang w:val="ro-MD" w:eastAsia="ru-RU"/>
        </w:rPr>
        <w:t>.</w:t>
      </w:r>
    </w:p>
    <w:p w14:paraId="1F5CC1B5" w14:textId="77777777" w:rsidR="003868BE" w:rsidRPr="00231B67" w:rsidRDefault="003868BE" w:rsidP="0008358D">
      <w:pPr>
        <w:pStyle w:val="a7"/>
        <w:tabs>
          <w:tab w:val="left" w:pos="993"/>
        </w:tabs>
        <w:ind w:left="0" w:firstLine="567"/>
        <w:jc w:val="both"/>
        <w:rPr>
          <w:sz w:val="24"/>
          <w:szCs w:val="24"/>
          <w:lang w:val="ro-MD" w:eastAsia="ru-RU"/>
        </w:rPr>
      </w:pPr>
    </w:p>
    <w:p w14:paraId="44800E33" w14:textId="77777777" w:rsidR="00537920" w:rsidRPr="00231B67" w:rsidRDefault="00537920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FADA55F" w14:textId="77777777" w:rsidR="00537920" w:rsidRPr="00231B67" w:rsidRDefault="00537920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3AE2E7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C3955F0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2</w:t>
      </w:r>
    </w:p>
    <w:p w14:paraId="0EA28F57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Principiile aplicate la determinarea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="00C048C2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 </w:t>
      </w:r>
      <w:r w:rsidR="00270380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pentru furnizarea en</w:t>
      </w:r>
      <w:r w:rsidR="00C048C2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ergi</w:t>
      </w:r>
      <w:r w:rsidR="00270380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ei</w:t>
      </w:r>
      <w:r w:rsidR="00C048C2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electric</w:t>
      </w:r>
      <w:r w:rsidR="00270380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e</w:t>
      </w:r>
    </w:p>
    <w:p w14:paraId="0D61A419" w14:textId="752B4DFB" w:rsidR="00C438BD" w:rsidRPr="00231B67" w:rsidRDefault="00C438BD" w:rsidP="00156863">
      <w:pPr>
        <w:pStyle w:val="a7"/>
        <w:numPr>
          <w:ilvl w:val="0"/>
          <w:numId w:val="2"/>
        </w:numPr>
        <w:spacing w:before="120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lastRenderedPageBreak/>
        <w:t xml:space="preserve">Metodologia </w:t>
      </w:r>
      <w:r w:rsidR="0008358D">
        <w:rPr>
          <w:sz w:val="24"/>
          <w:szCs w:val="24"/>
          <w:lang w:val="ro-MD" w:eastAsia="ru-RU"/>
        </w:rPr>
        <w:t>are la bază</w:t>
      </w:r>
      <w:r w:rsidRPr="00231B67">
        <w:rPr>
          <w:sz w:val="24"/>
          <w:szCs w:val="24"/>
          <w:lang w:val="ro-MD" w:eastAsia="ru-RU"/>
        </w:rPr>
        <w:t xml:space="preserve"> următoarele principii de reglementare:</w:t>
      </w:r>
    </w:p>
    <w:p w14:paraId="75E0FBFD" w14:textId="26CC1C9F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separarea contabilă a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de alte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desfăşurate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Furnizor;</w:t>
      </w:r>
    </w:p>
    <w:p w14:paraId="53301FDB" w14:textId="7F72C059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funcţionarea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eficientă </w:t>
      </w:r>
      <w:proofErr w:type="spellStart"/>
      <w:r w:rsidR="00C438BD" w:rsidRPr="00231B67">
        <w:rPr>
          <w:sz w:val="24"/>
          <w:szCs w:val="24"/>
          <w:lang w:val="ro-MD" w:eastAsia="ru-RU"/>
        </w:rPr>
        <w:t>şi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asigurarea </w:t>
      </w:r>
      <w:proofErr w:type="spellStart"/>
      <w:r w:rsidR="00C438BD" w:rsidRPr="00231B67">
        <w:rPr>
          <w:sz w:val="24"/>
          <w:szCs w:val="24"/>
          <w:lang w:val="ro-MD" w:eastAsia="ru-RU"/>
        </w:rPr>
        <w:t>viabilităţii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Furnizorului;</w:t>
      </w:r>
    </w:p>
    <w:p w14:paraId="7842F3A4" w14:textId="704A0633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>determinarea costurilor reale a</w:t>
      </w:r>
      <w:r w:rsidR="00BB0A20" w:rsidRPr="00231B67">
        <w:rPr>
          <w:sz w:val="24"/>
          <w:szCs w:val="24"/>
          <w:lang w:val="ro-MD" w:eastAsia="ru-RU"/>
        </w:rPr>
        <w:t>le</w:t>
      </w:r>
      <w:r w:rsidR="00C438BD" w:rsidRPr="00231B67">
        <w:rPr>
          <w:sz w:val="24"/>
          <w:szCs w:val="24"/>
          <w:lang w:val="ro-MD" w:eastAsia="ru-RU"/>
        </w:rPr>
        <w:t xml:space="preserve"> energiei electrice</w:t>
      </w:r>
      <w:r w:rsidR="00C048C2" w:rsidRPr="00231B67">
        <w:rPr>
          <w:sz w:val="24"/>
          <w:szCs w:val="24"/>
          <w:lang w:val="ro-MD" w:eastAsia="ru-RU"/>
        </w:rPr>
        <w:t xml:space="preserve"> procura</w:t>
      </w:r>
      <w:r w:rsidR="00BB0A20" w:rsidRPr="00231B67">
        <w:rPr>
          <w:sz w:val="24"/>
          <w:szCs w:val="24"/>
          <w:lang w:val="ro-MD" w:eastAsia="ru-RU"/>
        </w:rPr>
        <w:t>te</w:t>
      </w:r>
      <w:r w:rsidR="00C438BD" w:rsidRPr="00231B67">
        <w:rPr>
          <w:sz w:val="24"/>
          <w:szCs w:val="24"/>
          <w:lang w:val="ro-MD" w:eastAsia="ru-RU"/>
        </w:rPr>
        <w:t xml:space="preserve">, a cheltuielilor aferente prestării Furnizorului a serviciilor de transport şi de distribuţie a energiei electrice, a costurilor şi a cheltuielilor strict necesare pentru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de furnizare a energiei electrice, cu excluderea din calcul a tuturor costurilor şi cheltuielilor economic neargumentate şi/sau care nu sunt necesare pentru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electrice; </w:t>
      </w:r>
    </w:p>
    <w:p w14:paraId="3B89C7AD" w14:textId="62DCB3B5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desfăşurarea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în </w:t>
      </w:r>
      <w:proofErr w:type="spellStart"/>
      <w:r w:rsidR="00C438BD" w:rsidRPr="00231B67">
        <w:rPr>
          <w:sz w:val="24"/>
          <w:szCs w:val="24"/>
          <w:lang w:val="ro-MD" w:eastAsia="ru-RU"/>
        </w:rPr>
        <w:t>condiţii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</w:t>
      </w:r>
      <w:r w:rsidR="00FC0910" w:rsidRPr="00231B67">
        <w:rPr>
          <w:sz w:val="24"/>
          <w:szCs w:val="24"/>
          <w:lang w:val="ro-MD" w:eastAsia="ru-RU"/>
        </w:rPr>
        <w:t xml:space="preserve">predictibilitate, </w:t>
      </w:r>
      <w:r w:rsidR="00C438BD" w:rsidRPr="00231B67">
        <w:rPr>
          <w:sz w:val="24"/>
          <w:szCs w:val="24"/>
          <w:lang w:val="ro-MD" w:eastAsia="ru-RU"/>
        </w:rPr>
        <w:t>fiabilitate</w:t>
      </w:r>
      <w:r w:rsidR="007C5F2A" w:rsidRPr="00231B67">
        <w:rPr>
          <w:sz w:val="24"/>
          <w:szCs w:val="24"/>
          <w:lang w:val="ro-MD" w:eastAsia="ru-RU"/>
        </w:rPr>
        <w:t>,</w:t>
      </w:r>
      <w:r w:rsidR="00BB0A20" w:rsidRPr="00231B67">
        <w:rPr>
          <w:sz w:val="24"/>
          <w:szCs w:val="24"/>
          <w:lang w:val="ro-MD" w:eastAsia="ru-RU"/>
        </w:rPr>
        <w:t xml:space="preserve"> cu respectarea principiului </w:t>
      </w:r>
      <w:proofErr w:type="spellStart"/>
      <w:r w:rsidR="00BB0A20" w:rsidRPr="00231B67">
        <w:rPr>
          <w:sz w:val="24"/>
          <w:szCs w:val="24"/>
          <w:lang w:val="ro-MD"/>
        </w:rPr>
        <w:t>eficienţei</w:t>
      </w:r>
      <w:proofErr w:type="spellEnd"/>
      <w:r w:rsidR="00BB0A20" w:rsidRPr="00231B67">
        <w:rPr>
          <w:sz w:val="24"/>
          <w:szCs w:val="24"/>
          <w:lang w:val="ro-MD"/>
        </w:rPr>
        <w:t xml:space="preserve"> maxime la cheltuieli minime</w:t>
      </w:r>
      <w:r w:rsidR="00C438BD" w:rsidRPr="00231B67">
        <w:rPr>
          <w:sz w:val="24"/>
          <w:szCs w:val="24"/>
          <w:lang w:val="ro-MD" w:eastAsia="ru-RU"/>
        </w:rPr>
        <w:t>;</w:t>
      </w:r>
    </w:p>
    <w:p w14:paraId="2FBDFD4F" w14:textId="47E71739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includerea în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</w:t>
      </w:r>
      <w:r w:rsidR="007C5F2A" w:rsidRPr="00231B67">
        <w:rPr>
          <w:sz w:val="24"/>
          <w:szCs w:val="24"/>
          <w:lang w:val="ro-MD" w:eastAsia="ru-RU"/>
        </w:rPr>
        <w:t xml:space="preserve">pentru </w:t>
      </w:r>
      <w:r w:rsidR="00C438BD" w:rsidRPr="00231B67">
        <w:rPr>
          <w:sz w:val="24"/>
          <w:szCs w:val="24"/>
          <w:lang w:val="ro-MD" w:eastAsia="ru-RU"/>
        </w:rPr>
        <w:t xml:space="preserve">furnizarea energiei electrice doar a costurilor şi a cheltuielilor reale, strict necesare pentru procurarea, transportul, </w:t>
      </w:r>
      <w:proofErr w:type="spellStart"/>
      <w:r w:rsidR="00C438BD" w:rsidRPr="00231B67">
        <w:rPr>
          <w:sz w:val="24"/>
          <w:szCs w:val="24"/>
          <w:lang w:val="ro-MD" w:eastAsia="ru-RU"/>
        </w:rPr>
        <w:t>distribuţia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şi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furnizarea energiei electrice la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reglementate prin </w:t>
      </w:r>
      <w:proofErr w:type="spellStart"/>
      <w:r w:rsidR="00C438BD" w:rsidRPr="00231B67">
        <w:rPr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electrice până la nivelul respectiv de tensiune la care sunt racordate </w:t>
      </w:r>
      <w:proofErr w:type="spellStart"/>
      <w:r w:rsidR="00C438BD" w:rsidRPr="00231B67">
        <w:rPr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electrice ale consumatorilor finali;</w:t>
      </w:r>
    </w:p>
    <w:p w14:paraId="26AB81CA" w14:textId="35E7043B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r w:rsidR="00C438BD" w:rsidRPr="00231B67">
        <w:rPr>
          <w:sz w:val="24"/>
          <w:szCs w:val="24"/>
          <w:lang w:val="ro-MD" w:eastAsia="ru-RU"/>
        </w:rPr>
        <w:t xml:space="preserve">excluderea </w:t>
      </w:r>
      <w:proofErr w:type="spellStart"/>
      <w:r w:rsidR="00C438BD" w:rsidRPr="00231B67">
        <w:rPr>
          <w:sz w:val="24"/>
          <w:szCs w:val="24"/>
          <w:lang w:val="ro-MD" w:eastAsia="ru-RU"/>
        </w:rPr>
        <w:t>subvenţiilor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încrucişate</w:t>
      </w:r>
      <w:proofErr w:type="spellEnd"/>
      <w:r w:rsidR="00C438BD" w:rsidRPr="00231B67">
        <w:rPr>
          <w:sz w:val="24"/>
          <w:szCs w:val="24"/>
          <w:lang w:val="ro-MD" w:eastAsia="ru-RU"/>
        </w:rPr>
        <w:t>;</w:t>
      </w:r>
    </w:p>
    <w:p w14:paraId="1C9EDDCE" w14:textId="7A9A0F77" w:rsidR="00C438BD" w:rsidRPr="00231B67" w:rsidRDefault="0026131E" w:rsidP="00156863">
      <w:pPr>
        <w:pStyle w:val="a7"/>
        <w:numPr>
          <w:ilvl w:val="0"/>
          <w:numId w:val="9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transparenţă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în procesul de reglementare a </w:t>
      </w:r>
      <w:proofErr w:type="spellStart"/>
      <w:r w:rsidR="00C438BD" w:rsidRPr="00231B67">
        <w:rPr>
          <w:sz w:val="24"/>
          <w:szCs w:val="24"/>
          <w:lang w:val="ro-MD" w:eastAsia="ru-RU"/>
        </w:rPr>
        <w:t>preţurilor</w:t>
      </w:r>
      <w:proofErr w:type="spellEnd"/>
      <w:r w:rsidR="00C438BD" w:rsidRPr="00231B67">
        <w:rPr>
          <w:sz w:val="24"/>
          <w:szCs w:val="24"/>
          <w:lang w:val="ro-MD" w:eastAsia="ru-RU"/>
        </w:rPr>
        <w:t>.</w:t>
      </w:r>
    </w:p>
    <w:p w14:paraId="15AFDCE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6B9BB05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3</w:t>
      </w:r>
    </w:p>
    <w:p w14:paraId="6E487E63" w14:textId="77777777" w:rsidR="00C438BD" w:rsidRPr="00231B67" w:rsidRDefault="00C438BD" w:rsidP="00156863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Calcularea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="00642A65" w:rsidRPr="00231B67">
        <w:rPr>
          <w:lang w:val="ro-MD"/>
        </w:rPr>
        <w:t xml:space="preserve"> </w:t>
      </w:r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reglementate pentru furnizarea energiei electrice de către furnizorul serviciului universal</w:t>
      </w:r>
    </w:p>
    <w:p w14:paraId="6E25986B" w14:textId="0F3739B8" w:rsidR="00C438BD" w:rsidRPr="00231B67" w:rsidRDefault="00C438BD" w:rsidP="0026131E">
      <w:pPr>
        <w:pStyle w:val="a7"/>
        <w:numPr>
          <w:ilvl w:val="0"/>
          <w:numId w:val="2"/>
        </w:numPr>
        <w:spacing w:before="240"/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sz w:val="24"/>
          <w:szCs w:val="24"/>
          <w:lang w:val="ro-MD" w:eastAsia="ru-RU"/>
        </w:rPr>
        <w:t>Preţul</w:t>
      </w:r>
      <w:proofErr w:type="spellEnd"/>
      <w:r w:rsidRPr="00231B67">
        <w:rPr>
          <w:sz w:val="24"/>
          <w:szCs w:val="24"/>
          <w:lang w:val="ro-MD" w:eastAsia="ru-RU"/>
        </w:rPr>
        <w:t xml:space="preserve"> mediu </w:t>
      </w:r>
      <w:r w:rsidR="002F3F85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>furnizarea energiei electrice (</w:t>
      </w:r>
      <w:proofErr w:type="spellStart"/>
      <w:r w:rsidRPr="00231B67">
        <w:rPr>
          <w:sz w:val="24"/>
          <w:szCs w:val="24"/>
          <w:lang w:val="ro-MD" w:eastAsia="ru-RU"/>
        </w:rPr>
        <w:t>PFC</w:t>
      </w:r>
      <w:r w:rsidRPr="00231B67">
        <w:rPr>
          <w:sz w:val="24"/>
          <w:szCs w:val="24"/>
          <w:vertAlign w:val="subscript"/>
          <w:lang w:val="ro-MD" w:eastAsia="ru-RU"/>
        </w:rPr>
        <w:t>mn</w:t>
      </w:r>
      <w:proofErr w:type="spellEnd"/>
      <w:r w:rsidRPr="00231B67">
        <w:rPr>
          <w:sz w:val="24"/>
          <w:szCs w:val="24"/>
          <w:lang w:val="ro-MD" w:eastAsia="ru-RU"/>
        </w:rPr>
        <w:t xml:space="preserve">) tuturor consumatorilor </w:t>
      </w:r>
      <w:r w:rsidR="007C5F2A" w:rsidRPr="00231B67">
        <w:rPr>
          <w:sz w:val="24"/>
          <w:szCs w:val="24"/>
          <w:lang w:val="ro-MD" w:eastAsia="ru-RU"/>
        </w:rPr>
        <w:t xml:space="preserve">finali </w:t>
      </w:r>
      <w:proofErr w:type="spellStart"/>
      <w:r w:rsidRPr="00231B67">
        <w:rPr>
          <w:sz w:val="24"/>
          <w:szCs w:val="24"/>
          <w:lang w:val="ro-MD" w:eastAsia="ru-RU"/>
        </w:rPr>
        <w:t>deserviţi</w:t>
      </w:r>
      <w:proofErr w:type="spellEnd"/>
      <w:r w:rsidRPr="00231B67">
        <w:rPr>
          <w:sz w:val="24"/>
          <w:szCs w:val="24"/>
          <w:lang w:val="ro-MD" w:eastAsia="ru-RU"/>
        </w:rPr>
        <w:t xml:space="preserve"> de Furnizor în anul de reglementare „n” se determină </w:t>
      </w:r>
      <w:r w:rsidR="007C5F2A" w:rsidRPr="00231B67">
        <w:rPr>
          <w:sz w:val="24"/>
          <w:szCs w:val="24"/>
          <w:lang w:val="ro-MD" w:eastAsia="ru-RU"/>
        </w:rPr>
        <w:t>ț</w:t>
      </w:r>
      <w:r w:rsidR="00413C7C">
        <w:rPr>
          <w:sz w:val="24"/>
          <w:szCs w:val="24"/>
          <w:lang w:val="ro-MD" w:eastAsia="ru-RU"/>
        </w:rPr>
        <w:t>inând</w:t>
      </w:r>
      <w:r w:rsidR="007C5F2A" w:rsidRPr="00231B67">
        <w:rPr>
          <w:sz w:val="24"/>
          <w:szCs w:val="24"/>
          <w:lang w:val="ro-MD" w:eastAsia="ru-RU"/>
        </w:rPr>
        <w:t xml:space="preserve"> cont </w:t>
      </w:r>
      <w:r w:rsidRPr="00231B67">
        <w:rPr>
          <w:sz w:val="24"/>
          <w:szCs w:val="24"/>
          <w:lang w:val="ro-MD" w:eastAsia="ru-RU"/>
        </w:rPr>
        <w:t>d</w:t>
      </w:r>
      <w:r w:rsidR="007C5F2A" w:rsidRPr="00231B67">
        <w:rPr>
          <w:sz w:val="24"/>
          <w:szCs w:val="24"/>
          <w:lang w:val="ro-MD" w:eastAsia="ru-RU"/>
        </w:rPr>
        <w:t>e</w:t>
      </w:r>
      <w:r w:rsidRPr="00231B67">
        <w:rPr>
          <w:sz w:val="24"/>
          <w:szCs w:val="24"/>
          <w:lang w:val="ro-MD" w:eastAsia="ru-RU"/>
        </w:rPr>
        <w:t xml:space="preserve"> venitul care trebuie să fie </w:t>
      </w:r>
      <w:proofErr w:type="spellStart"/>
      <w:r w:rsidRPr="00231B67">
        <w:rPr>
          <w:sz w:val="24"/>
          <w:szCs w:val="24"/>
          <w:lang w:val="ro-MD" w:eastAsia="ru-RU"/>
        </w:rPr>
        <w:t>obţinut</w:t>
      </w:r>
      <w:proofErr w:type="spellEnd"/>
      <w:r w:rsidRPr="00231B67">
        <w:rPr>
          <w:sz w:val="24"/>
          <w:szCs w:val="24"/>
          <w:lang w:val="ro-MD" w:eastAsia="ru-RU"/>
        </w:rPr>
        <w:t xml:space="preserve"> de către Furnizor în vederea acoperirii costurilor şi a cheltuielilor reale necesare pentru furnizarea energiei electrice </w:t>
      </w:r>
      <w:proofErr w:type="spellStart"/>
      <w:r w:rsidRPr="00231B67">
        <w:rPr>
          <w:sz w:val="24"/>
          <w:szCs w:val="24"/>
          <w:lang w:val="ro-MD" w:eastAsia="ru-RU"/>
        </w:rPr>
        <w:t>şi</w:t>
      </w:r>
      <w:proofErr w:type="spellEnd"/>
      <w:r w:rsidRPr="00231B67">
        <w:rPr>
          <w:sz w:val="24"/>
          <w:szCs w:val="24"/>
          <w:lang w:val="ro-MD" w:eastAsia="ru-RU"/>
        </w:rPr>
        <w:t xml:space="preserve"> pentru </w:t>
      </w:r>
      <w:proofErr w:type="spellStart"/>
      <w:r w:rsidRPr="00231B67">
        <w:rPr>
          <w:sz w:val="24"/>
          <w:szCs w:val="24"/>
          <w:lang w:val="ro-MD" w:eastAsia="ru-RU"/>
        </w:rPr>
        <w:t>obţinerea</w:t>
      </w:r>
      <w:proofErr w:type="spellEnd"/>
      <w:r w:rsidRPr="00231B67">
        <w:rPr>
          <w:sz w:val="24"/>
          <w:szCs w:val="24"/>
          <w:lang w:val="ro-MD" w:eastAsia="ru-RU"/>
        </w:rPr>
        <w:t xml:space="preserve"> unei </w:t>
      </w:r>
      <w:r w:rsidR="003718B8">
        <w:rPr>
          <w:sz w:val="24"/>
          <w:szCs w:val="24"/>
          <w:lang w:val="ro-MD" w:eastAsia="ru-RU"/>
        </w:rPr>
        <w:t xml:space="preserve">rentabilități </w:t>
      </w:r>
      <w:r w:rsidR="00674CE0">
        <w:rPr>
          <w:sz w:val="24"/>
          <w:szCs w:val="24"/>
          <w:lang w:val="ro-MD" w:eastAsia="ru-RU"/>
        </w:rPr>
        <w:t>reglementate</w:t>
      </w:r>
      <w:r w:rsidRPr="00231B67">
        <w:rPr>
          <w:sz w:val="24"/>
          <w:szCs w:val="24"/>
          <w:lang w:val="ro-MD" w:eastAsia="ru-RU"/>
        </w:rPr>
        <w:t xml:space="preserve">. Astfel, </w:t>
      </w:r>
      <w:proofErr w:type="spellStart"/>
      <w:r w:rsidRPr="00231B67">
        <w:rPr>
          <w:sz w:val="24"/>
          <w:szCs w:val="24"/>
          <w:lang w:val="ro-MD" w:eastAsia="ru-RU"/>
        </w:rPr>
        <w:t>preţul</w:t>
      </w:r>
      <w:proofErr w:type="spellEnd"/>
      <w:r w:rsidRPr="00231B67">
        <w:rPr>
          <w:sz w:val="24"/>
          <w:szCs w:val="24"/>
          <w:lang w:val="ro-MD" w:eastAsia="ru-RU"/>
        </w:rPr>
        <w:t xml:space="preserve"> în cauză va fi determinat conform formulei:</w:t>
      </w:r>
    </w:p>
    <w:p w14:paraId="335535D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6FF1B0C" w14:textId="69445AD5" w:rsidR="00C438BD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VF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CFT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RF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MD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D" w:eastAsia="ru-RU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 w:cs="Times New Roman"/>
            <w:noProof/>
            <w:sz w:val="24"/>
            <w:szCs w:val="24"/>
            <w:lang w:val="ro-MD" w:eastAsia="ru-RU"/>
          </w:rPr>
          <m:t xml:space="preserve"> (1)</m:t>
        </m:r>
      </m:oMath>
      <w:r w:rsidR="003B59ED" w:rsidRPr="00231B67">
        <w:rPr>
          <w:rFonts w:ascii="Times New Roman" w:eastAsia="Times New Roman" w:hAnsi="Times New Roman" w:cs="Times New Roman"/>
          <w:noProof/>
          <w:sz w:val="24"/>
          <w:szCs w:val="24"/>
          <w:lang w:val="ro-MD" w:eastAsia="ru-RU"/>
        </w:rPr>
        <w:t xml:space="preserve">   </w:t>
      </w:r>
    </w:p>
    <w:p w14:paraId="63BD801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7E6C472" w14:textId="67636EA4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C98771F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B0B3310" w14:textId="30787702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reglementat al Furnizorului necesar a fi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obţinut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anul „n” în </w:t>
      </w:r>
      <w:r w:rsidR="002F3F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rezultatul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furnizării energiei electrice tuturor consumatorilor </w:t>
      </w:r>
      <w:r w:rsidR="007C5F2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exprimat în lei. Furnizarea energiei electrice poate fi efectuată de Furnizor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şi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</w:t>
      </w:r>
      <w:r w:rsidR="001F17A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determinat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1F17A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stfel:</w:t>
      </w:r>
    </w:p>
    <w:p w14:paraId="27B2CB2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FF8824E" w14:textId="2696D089" w:rsidR="00C438BD" w:rsidRPr="00231B67" w:rsidRDefault="009361AC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VF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VF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ntr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VF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nd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o-MD" w:eastAsia="ru-RU"/>
          </w:rPr>
          <m:t xml:space="preserve"> (2)</m:t>
        </m:r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BABCAEC" w14:textId="301ECF88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90C6435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2DB075D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ntr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venitul Furnizorului de la furnizarea în anul „n”,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lei; </w:t>
      </w:r>
    </w:p>
    <w:p w14:paraId="37B66AB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Furnizorului de la furnizarea în anul „n” a energiei electrice consumatorilor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finali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distribuţie, lei, care se determină conform formulei:</w:t>
      </w:r>
    </w:p>
    <w:p w14:paraId="6C2949A5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BAA4E8A" w14:textId="181F0012" w:rsidR="00C438BD" w:rsidRPr="00231B67" w:rsidRDefault="009361AC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(3)</m:t>
          </m:r>
        </m:oMath>
      </m:oMathPara>
    </w:p>
    <w:p w14:paraId="7F93F32C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nît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de la furnizarea în anul „n”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înaltă tensiune, lei; </w:t>
      </w:r>
    </w:p>
    <w:p w14:paraId="69E4E6AD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lastRenderedPageBreak/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nmt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venitul de la furnizarea în anul „n”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medie tensiune, lei; </w:t>
      </w:r>
    </w:p>
    <w:p w14:paraId="0D727941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njt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venitul de la furnizarea în anul „n” a energiei electrice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joasă tensiune, lei;</w:t>
      </w:r>
    </w:p>
    <w:p w14:paraId="7BA2767F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CFT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costurile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cheltuielile totale ale Furnizorului aferente furnizării energiei electrice, </w:t>
      </w:r>
      <w:r w:rsidR="0084275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exprimate în lei,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care se determină conform formulei:</w:t>
      </w:r>
    </w:p>
    <w:p w14:paraId="22A8D5B5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B5BAE54" w14:textId="0172BEFE" w:rsidR="00C438BD" w:rsidRPr="00231B67" w:rsidRDefault="009361AC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CFT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CEP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COP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Dev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n-1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(4)</m:t>
          </m:r>
        </m:oMath>
      </m:oMathPara>
    </w:p>
    <w:p w14:paraId="773B902C" w14:textId="7B258D6B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AAF4C90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316E90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CEP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costul energiei electrice procurate de Furnizor în anul „n” pentru a fi furnizată tuturor consumatorilor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finali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lei;</w:t>
      </w:r>
    </w:p>
    <w:p w14:paraId="60F5E9D6" w14:textId="573CD5B5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CST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cheltuielile suportate de Furnizor în anul „n” pentru serviciul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transport 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energiei electrice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</w:t>
      </w:r>
      <w:r w:rsidR="009C2FC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prestat acestuia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către operatorul sistemului de transport, lei; </w:t>
      </w:r>
    </w:p>
    <w:p w14:paraId="55189719" w14:textId="0D564FDA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CSD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cheltuielile suportate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„n” pentru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serviciul de distribuţie a energiei electrice, </w:t>
      </w:r>
      <w:r w:rsidR="009C2FC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prestat acestuia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 către operatorul sistemului de distribuţie, lei;</w:t>
      </w:r>
    </w:p>
    <w:p w14:paraId="2B698A8D" w14:textId="3A6ACFB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CSF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costurile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cheltuielile totale ale Furnizorului necesare pentru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desfăşurarea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activităţii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furnizare a energiei electrice în anul „n”, lei;</w:t>
      </w:r>
    </w:p>
    <w:p w14:paraId="2EAF42A0" w14:textId="269FB841" w:rsidR="00E01AF9" w:rsidRPr="00231B67" w:rsidRDefault="00E01AF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COP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– 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cheltuielile s</w:t>
      </w:r>
      <w:r w:rsidR="00E00AED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uportate de Furnizor în anul „n”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pentru serviciul</w:t>
      </w:r>
      <w:r w:rsidR="003718B8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de operare a pieței energiei electrice</w:t>
      </w:r>
      <w:r w:rsidR="009C2FCE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, prestat acestuia de către operatorul pieţei energiei electrice</w:t>
      </w:r>
      <w:r w:rsidR="00D03843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;</w:t>
      </w:r>
    </w:p>
    <w:p w14:paraId="0AF50F5A" w14:textId="597A105F" w:rsidR="00C438BD" w:rsidRPr="00231B67" w:rsidRDefault="00C438BD" w:rsidP="005B1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Dev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n-1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componenta, care </w:t>
      </w:r>
      <w:r w:rsidR="007E58D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considera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 devierile tarifare, pozitive (+) sau negative (-), ale Furnizorului generate în anul „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n-1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 (</w:t>
      </w:r>
      <w:r w:rsidR="00F676F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anul precedent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), </w:t>
      </w:r>
      <w:r w:rsidR="00E334D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costurile și</w:t>
      </w:r>
      <w:r w:rsidR="005B1CE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/sau</w:t>
      </w:r>
      <w:r w:rsidR="00E334D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veniturile suplimentare </w:t>
      </w:r>
      <w:r w:rsidR="00E96678" w:rsidRP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provenit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="00E96678" w:rsidRP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echilibrarea sistemului electroenergetic</w:t>
      </w:r>
      <w:r w:rsidR="00B67B7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repartizate furnizorului conform prevederilor Regulilor pieței energiei electrice</w:t>
      </w:r>
      <w:r w:rsidR="00811F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aprobate prin Hotărârea Consiliului de administrație al ANRE nr. 283/2020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E96678" w:rsidRP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ce vor fi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incluse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calculul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reglementate pentru anul 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„n”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r w:rsidR="007E58D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anul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care se stabilesc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reglementate)</w:t>
      </w:r>
      <w:r w:rsidR="0084275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E334D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84275A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evieri</w:t>
      </w:r>
      <w:r w:rsidR="00E9667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5B1CE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reprezintă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diferenţa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între parametrii</w:t>
      </w:r>
      <w:r w:rsidR="00151D1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efectiv înregistrați în anul „</w:t>
      </w:r>
      <w:r w:rsidR="00151D11"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n-1</w:t>
      </w:r>
      <w:r w:rsidR="00151D1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151D11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şi cei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planificați și incluși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</w:t>
      </w:r>
      <w:r w:rsidR="003120E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calculul prețurilor reglementate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anul 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„n-1”</w:t>
      </w:r>
      <w:r w:rsidR="005B1CE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; </w:t>
      </w:r>
    </w:p>
    <w:p w14:paraId="765AB826" w14:textId="38CBEF04" w:rsidR="00C438BD" w:rsidRPr="00231B67" w:rsidRDefault="00C438BD" w:rsidP="008632FF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RF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rentabilitatea reglementată necesară а fi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obţinută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„n”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03106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exprimată în lei,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care se determină </w:t>
      </w:r>
      <w:r w:rsidR="00E96B7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</w:t>
      </w:r>
      <w:r w:rsidR="00674CE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funcție </w:t>
      </w:r>
      <w:r w:rsidR="00E96B7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costurile de furnizare </w:t>
      </w:r>
      <w:r w:rsidR="001668B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care </w:t>
      </w:r>
      <w:proofErr w:type="spellStart"/>
      <w:r w:rsidR="0080708F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crează</w:t>
      </w:r>
      <w:proofErr w:type="spellEnd"/>
      <w:r w:rsidR="0080708F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necesitatea </w:t>
      </w:r>
      <w:r w:rsidR="0051228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alocării</w:t>
      </w:r>
      <w:r w:rsidR="00E96B7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capitalului circulant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conform formulei:</w:t>
      </w:r>
    </w:p>
    <w:p w14:paraId="11577C73" w14:textId="713F66B4" w:rsidR="00541045" w:rsidRPr="00231B67" w:rsidRDefault="0054104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r>
            <w:rPr>
              <w:rFonts w:ascii="Cambria Math" w:eastAsia="Times New Roman" w:hAnsi="Cambria Math"/>
              <w:lang w:val="ro-MD"/>
            </w:rPr>
            <m:t>R</m:t>
          </m:r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α×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CEP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CST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CSD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COP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(CSF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AMI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)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365</m:t>
              </m:r>
            </m:den>
          </m:f>
          <m:r>
            <w:rPr>
              <w:rFonts w:ascii="Cambria Math" w:eastAsia="Times New Roman" w:hAnsi="Cambria Math"/>
              <w:lang w:val="ro-MD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 xml:space="preserve">    (5)</m:t>
          </m:r>
        </m:oMath>
      </m:oMathPara>
    </w:p>
    <w:p w14:paraId="644DF7F4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E2E43FA" w14:textId="6219128B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76E93D5A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FF29CB8" w14:textId="66B57BE2" w:rsidR="000C3E76" w:rsidRPr="00231B67" w:rsidRDefault="000C3E76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α 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necesitatea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fond</w:t>
      </w:r>
      <w:r w:rsidR="00B45EC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ului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rulment, exprimată în zile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din momentul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factur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ării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energiei electrice. Se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stabileşte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α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= </w:t>
      </w:r>
      <w:r w:rsidR="001133F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25</w:t>
      </w:r>
      <w:r w:rsidR="001133F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zile, determinat în baza termenului de achitare de către consumatorii finali 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pentru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facturată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conform actelor normative în vigoare, şi a termenelor de achitare pentru </w:t>
      </w:r>
      <w:r w:rsidR="000B153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costurile și cheltuielile </w:t>
      </w:r>
      <w:r w:rsidR="0026131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Furnizorului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34D99060" w14:textId="1BBBFAC5" w:rsidR="00541F59" w:rsidRPr="00231B67" w:rsidRDefault="00541F59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AMI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– amortizarea mijloacelor fixe și imobilizărilor necorporale în anul </w:t>
      </w:r>
      <w:r w:rsidR="00EB3CAF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„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n</w:t>
      </w:r>
      <w:r w:rsidR="00EB3CAF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”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, determin</w:t>
      </w:r>
      <w:r w:rsidR="00EB3CAF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at</w:t>
      </w:r>
      <w:r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ă conform </w:t>
      </w:r>
      <w:r w:rsidR="004C0D4D" w:rsidRPr="00F11A61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punctului 21</w:t>
      </w:r>
      <w:r w:rsidRPr="00F11A61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;</w:t>
      </w:r>
    </w:p>
    <w:p w14:paraId="497322F3" w14:textId="77777777" w:rsidR="00C438BD" w:rsidRPr="00231B67" w:rsidRDefault="00C438BD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R</w:t>
      </w:r>
      <w:r w:rsidR="00541045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r w:rsidR="0054104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</w:t>
      </w:r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rata medie a dobânzilor la creditele acordate persoanelor juridice în anul „n”, în monedă </w:t>
      </w:r>
      <w:proofErr w:type="spellStart"/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naţională</w:t>
      </w:r>
      <w:proofErr w:type="spellEnd"/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publicată de Banca </w:t>
      </w:r>
      <w:proofErr w:type="spellStart"/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Naţională</w:t>
      </w:r>
      <w:proofErr w:type="spellEnd"/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Moldovei la compartimentul: Ratele medii ponderate ale dobânzilor la creditele noi acordate, Rata medie ponderată la creditele acordate în monedă </w:t>
      </w:r>
      <w:proofErr w:type="spellStart"/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naţională</w:t>
      </w:r>
      <w:proofErr w:type="spellEnd"/>
      <w:r w:rsidR="000C3E7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/persoane juridice /până la 12 luni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61109187" w14:textId="77777777" w:rsidR="006A1D29" w:rsidRPr="00231B67" w:rsidRDefault="006A1D29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3ABCC4C" w14:textId="21448CF3" w:rsidR="00C438BD" w:rsidRPr="007729A0" w:rsidRDefault="006A1D29" w:rsidP="008632FF">
      <w:pPr>
        <w:spacing w:after="6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</w:t>
      </w:r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antitatea de energie electrică furnizată în anul „n” tuturor consumatorilor </w:t>
      </w:r>
      <w:r w:rsidR="003120E2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finali </w:t>
      </w:r>
      <w:proofErr w:type="spellStart"/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</w:t>
      </w:r>
      <w:r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Pr="007729A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7729A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C438BD"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356B23"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exprimată în kWh, </w:t>
      </w:r>
      <w:r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</w:t>
      </w:r>
      <w:r w:rsidR="00C438BD" w:rsidRP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determină conform formulei:</w:t>
      </w:r>
    </w:p>
    <w:p w14:paraId="00C95ACD" w14:textId="77777777" w:rsidR="00C438BD" w:rsidRPr="00E00AED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00AE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> </w:t>
      </w:r>
    </w:p>
    <w:p w14:paraId="57B62133" w14:textId="612D3709" w:rsidR="00C438BD" w:rsidRPr="008B26F6" w:rsidRDefault="009361AC" w:rsidP="00D820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ntr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(6)</m:t>
          </m:r>
        </m:oMath>
      </m:oMathPara>
    </w:p>
    <w:p w14:paraId="012481F7" w14:textId="112C36C9" w:rsidR="00C438BD" w:rsidRPr="008B26F6" w:rsidRDefault="006A1D2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</w:t>
      </w:r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709A8B70" w14:textId="77777777" w:rsidR="006A1D29" w:rsidRPr="008B26F6" w:rsidRDefault="006A1D29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MD" w:eastAsia="ru-RU"/>
        </w:rPr>
      </w:pPr>
    </w:p>
    <w:p w14:paraId="14FAB1E5" w14:textId="7C02062E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ntr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</w:t>
      </w:r>
      <w:r w:rsidR="002B27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anul „n” 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ale operatorului sistemului de transport, kWh;</w:t>
      </w:r>
    </w:p>
    <w:p w14:paraId="70876CF0" w14:textId="08DE22CC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de energie electrică furnizată </w:t>
      </w:r>
      <w:r w:rsidR="002B27B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punctele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distribuţie, kWh, care se determină conform formulei:</w:t>
      </w:r>
    </w:p>
    <w:p w14:paraId="166B2FB9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518357D" w14:textId="4EBB8EC8" w:rsidR="00C438BD" w:rsidRPr="00231B67" w:rsidRDefault="009361AC" w:rsidP="00261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(7)</m:t>
          </m:r>
        </m:oMath>
      </m:oMathPara>
    </w:p>
    <w:p w14:paraId="278E91A3" w14:textId="77777777" w:rsidR="008731ED" w:rsidRPr="00231B67" w:rsidRDefault="008731E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420FD25" w14:textId="7AB51A93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unde: </w:t>
      </w:r>
    </w:p>
    <w:p w14:paraId="10C98645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CC8D66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nît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 consumatorilor finali,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înaltă (TÎ), care cuprind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tensiunea 35-110 kV, kWh;</w:t>
      </w:r>
    </w:p>
    <w:p w14:paraId="4FD5E6AA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nmt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medie tensiune (TM), care cuprind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tensiunea 6-10 kV, kWh; </w:t>
      </w:r>
    </w:p>
    <w:p w14:paraId="5BFED8E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njt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joasă tensiune (TJ), care cuprind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tensiunea 0,4 kV şi mai joasă, kWh.</w:t>
      </w:r>
    </w:p>
    <w:p w14:paraId="5AD40B41" w14:textId="28CC7AC7" w:rsidR="00C438BD" w:rsidRPr="00231B67" w:rsidRDefault="00C438BD" w:rsidP="00231B67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1A5E56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se determină şi se aprobă </w:t>
      </w:r>
      <w:r w:rsidR="000144C4" w:rsidRPr="00231B67">
        <w:rPr>
          <w:sz w:val="24"/>
          <w:szCs w:val="24"/>
          <w:lang w:val="ro-MD" w:eastAsia="ru-RU"/>
        </w:rPr>
        <w:t>astfel</w:t>
      </w:r>
      <w:r w:rsidRPr="00231B67">
        <w:rPr>
          <w:sz w:val="24"/>
          <w:szCs w:val="24"/>
          <w:lang w:val="ro-MD" w:eastAsia="ru-RU"/>
        </w:rPr>
        <w:t xml:space="preserve"> ca fiecare categorie de consumatori finali, în parte, să achite doar costul real necesar pentru </w:t>
      </w:r>
      <w:r w:rsidR="001A5E56" w:rsidRPr="00231B67">
        <w:rPr>
          <w:sz w:val="24"/>
          <w:szCs w:val="24"/>
          <w:lang w:val="ro-MD" w:eastAsia="ru-RU"/>
        </w:rPr>
        <w:t xml:space="preserve">energia electrică </w:t>
      </w:r>
      <w:r w:rsidRPr="00231B67">
        <w:rPr>
          <w:sz w:val="24"/>
          <w:szCs w:val="24"/>
          <w:lang w:val="ro-MD" w:eastAsia="ru-RU"/>
        </w:rPr>
        <w:t>procura</w:t>
      </w:r>
      <w:r w:rsidR="001A5E56" w:rsidRPr="00231B67">
        <w:rPr>
          <w:sz w:val="24"/>
          <w:szCs w:val="24"/>
          <w:lang w:val="ro-MD" w:eastAsia="ru-RU"/>
        </w:rPr>
        <w:t>tă</w:t>
      </w:r>
      <w:r w:rsidRPr="00231B67">
        <w:rPr>
          <w:sz w:val="24"/>
          <w:szCs w:val="24"/>
          <w:lang w:val="ro-MD" w:eastAsia="ru-RU"/>
        </w:rPr>
        <w:t xml:space="preserve">, pentru transportul, pentru </w:t>
      </w:r>
      <w:proofErr w:type="spellStart"/>
      <w:r w:rsidRPr="00231B67">
        <w:rPr>
          <w:sz w:val="24"/>
          <w:szCs w:val="24"/>
          <w:lang w:val="ro-MD" w:eastAsia="ru-RU"/>
        </w:rPr>
        <w:t>distribuţia</w:t>
      </w:r>
      <w:proofErr w:type="spellEnd"/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sz w:val="24"/>
          <w:szCs w:val="24"/>
          <w:lang w:val="ro-MD" w:eastAsia="ru-RU"/>
        </w:rPr>
        <w:t>şi</w:t>
      </w:r>
      <w:proofErr w:type="spellEnd"/>
      <w:r w:rsidRPr="00231B67">
        <w:rPr>
          <w:sz w:val="24"/>
          <w:szCs w:val="24"/>
          <w:lang w:val="ro-MD" w:eastAsia="ru-RU"/>
        </w:rPr>
        <w:t xml:space="preserve"> pentru furnizarea acesteia la punctele de delimitare sau la locurile de consum ale consumatorilor finali în </w:t>
      </w:r>
      <w:r w:rsidR="00A50CF0">
        <w:rPr>
          <w:sz w:val="24"/>
          <w:szCs w:val="24"/>
          <w:lang w:val="ro-MD" w:eastAsia="ru-RU"/>
        </w:rPr>
        <w:t>funcție</w:t>
      </w:r>
      <w:r w:rsidR="00B27A5C" w:rsidRPr="00231B67">
        <w:rPr>
          <w:sz w:val="24"/>
          <w:szCs w:val="24"/>
          <w:lang w:val="ro-MD" w:eastAsia="ru-RU"/>
        </w:rPr>
        <w:t xml:space="preserve"> </w:t>
      </w:r>
      <w:r w:rsidRPr="00231B67">
        <w:rPr>
          <w:sz w:val="24"/>
          <w:szCs w:val="24"/>
          <w:lang w:val="ro-MD" w:eastAsia="ru-RU"/>
        </w:rPr>
        <w:t xml:space="preserve">de nivelul tensiunii </w:t>
      </w:r>
      <w:proofErr w:type="spellStart"/>
      <w:r w:rsidRPr="00231B67">
        <w:rPr>
          <w:sz w:val="24"/>
          <w:szCs w:val="24"/>
          <w:lang w:val="ro-MD" w:eastAsia="ru-RU"/>
        </w:rPr>
        <w:t>reţelelor</w:t>
      </w:r>
      <w:proofErr w:type="spellEnd"/>
      <w:r w:rsidRPr="00231B67">
        <w:rPr>
          <w:sz w:val="24"/>
          <w:szCs w:val="24"/>
          <w:lang w:val="ro-MD" w:eastAsia="ru-RU"/>
        </w:rPr>
        <w:t xml:space="preserve"> electrice la care sunt racordate </w:t>
      </w:r>
      <w:proofErr w:type="spellStart"/>
      <w:r w:rsidRPr="00231B67">
        <w:rPr>
          <w:sz w:val="24"/>
          <w:szCs w:val="24"/>
          <w:lang w:val="ro-MD" w:eastAsia="ru-RU"/>
        </w:rPr>
        <w:t>instalaţiile</w:t>
      </w:r>
      <w:proofErr w:type="spellEnd"/>
      <w:r w:rsidRPr="00231B67">
        <w:rPr>
          <w:sz w:val="24"/>
          <w:szCs w:val="24"/>
          <w:lang w:val="ro-MD" w:eastAsia="ru-RU"/>
        </w:rPr>
        <w:t xml:space="preserve"> electrice ale acestora. Aceste </w:t>
      </w:r>
      <w:proofErr w:type="spellStart"/>
      <w:r w:rsidRPr="00231B67">
        <w:rPr>
          <w:sz w:val="24"/>
          <w:szCs w:val="24"/>
          <w:lang w:val="ro-MD" w:eastAsia="ru-RU"/>
        </w:rPr>
        <w:t>preţuri</w:t>
      </w:r>
      <w:proofErr w:type="spellEnd"/>
      <w:r w:rsidRPr="00231B67">
        <w:rPr>
          <w:sz w:val="24"/>
          <w:szCs w:val="24"/>
          <w:lang w:val="ro-MD" w:eastAsia="ru-RU"/>
        </w:rPr>
        <w:t xml:space="preserve"> pot fi atât de tip monom, precum şi de tip binom.</w:t>
      </w:r>
    </w:p>
    <w:p w14:paraId="13C0A7B0" w14:textId="23FB9584" w:rsidR="00C438BD" w:rsidRPr="00231B67" w:rsidRDefault="00C438BD" w:rsidP="00231B67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sz w:val="24"/>
          <w:szCs w:val="24"/>
          <w:lang w:val="ro-MD" w:eastAsia="ru-RU"/>
        </w:rPr>
        <w:t>Preţul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 </w:t>
      </w:r>
      <w:r w:rsidR="00873E6C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>furnizarea energie</w:t>
      </w:r>
      <w:r w:rsidR="002F3F85" w:rsidRPr="00231B67">
        <w:rPr>
          <w:sz w:val="24"/>
          <w:szCs w:val="24"/>
          <w:lang w:val="ro-MD" w:eastAsia="ru-RU"/>
        </w:rPr>
        <w:t>i</w:t>
      </w:r>
      <w:r w:rsidRPr="00231B67">
        <w:rPr>
          <w:sz w:val="24"/>
          <w:szCs w:val="24"/>
          <w:lang w:val="ro-MD" w:eastAsia="ru-RU"/>
        </w:rPr>
        <w:t xml:space="preserve"> electrice de tip monom reflectă costurile Furnizorului raportate la un kWh (lei/kWh). În acest caz, veniturile Furnizorului în anul de reglementare „n” de la furnizarea energiei electrice consumatorilor finali de energie electrică şi, respectiv, plata necesară de a fi achitată de către </w:t>
      </w:r>
      <w:proofErr w:type="spellStart"/>
      <w:r w:rsidRPr="00231B67">
        <w:rPr>
          <w:sz w:val="24"/>
          <w:szCs w:val="24"/>
          <w:lang w:val="ro-MD" w:eastAsia="ru-RU"/>
        </w:rPr>
        <w:t>toţi</w:t>
      </w:r>
      <w:proofErr w:type="spellEnd"/>
      <w:r w:rsidRPr="00231B67">
        <w:rPr>
          <w:sz w:val="24"/>
          <w:szCs w:val="24"/>
          <w:lang w:val="ro-MD" w:eastAsia="ru-RU"/>
        </w:rPr>
        <w:t xml:space="preserve"> consumatorii finali pentru energia electrică consumată se va determina conform formulei:</w:t>
      </w:r>
    </w:p>
    <w:p w14:paraId="60EDD411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EED74CF" w14:textId="05A39E75" w:rsidR="00C438BD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PAC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×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m</m:t>
                  </m:r>
                </m:sup>
              </m:sSubSup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(8)</m:t>
          </m:r>
        </m:oMath>
      </m:oMathPara>
    </w:p>
    <w:p w14:paraId="16A6DA81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A194E46" w14:textId="1E30CB20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50ED5E18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7DC8AE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PAC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plata necesară a fi achitată de către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toţi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consumatorii finali ai Furnizorului pentru energia electrică furnizată (consumată) în anul „n”, lei; </w:t>
      </w:r>
    </w:p>
    <w:p w14:paraId="42C89D19" w14:textId="71029623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totală de energie electrică, furnizată în anul „n” consumatorilor finali d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categoria „k”, kWh;</w:t>
      </w:r>
    </w:p>
    <w:p w14:paraId="253FAD3D" w14:textId="344BAF39" w:rsidR="00C438BD" w:rsidRPr="00231B67" w:rsidRDefault="009361A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PFC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nk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preţul reglementat de tip monom </w:t>
      </w:r>
      <w:r w:rsidR="00873E6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pentru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furnizarea energiei electrice în anul „n” consumatorilor finali d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categoria „k”, lei/kWh. Acest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determină:</w:t>
      </w:r>
    </w:p>
    <w:p w14:paraId="01D93891" w14:textId="41247BF5" w:rsidR="00C438BD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7.1.</w:t>
      </w:r>
      <w:r w:rsidR="00C438BD" w:rsidRPr="008B26F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energia electrică furnizată la punctele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(consumatorilor finali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r w:rsidR="00E00AE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transport</w:t>
      </w:r>
      <w:r w:rsidR="00C438BD" w:rsidRPr="00E00AE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):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055BB55F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A49B4D0" w14:textId="5A519332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4283FC5" w14:textId="0B47456C" w:rsidR="00A369F3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ntr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ntr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ntr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CST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COP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(9)</m:t>
          </m:r>
        </m:oMath>
      </m:oMathPara>
    </w:p>
    <w:p w14:paraId="68AA5BFA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A978143" w14:textId="598936EC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>unde:</w:t>
      </w:r>
    </w:p>
    <w:p w14:paraId="000CCEAF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146DE07" w14:textId="7AAFEF05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reglementat pentru serviciul de transport al energiei electrice, prestat Furnizorului de către operatorul sistemului de transport а în anul „n”, lei/kWh, aprobat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conformitate cu </w:t>
      </w:r>
      <w:r w:rsidR="008B59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prevederile Legii cu privire la energia electrică n</w:t>
      </w:r>
      <w:r w:rsidR="00F95C03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="008B59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1</w:t>
      </w:r>
      <w:r w:rsidR="008E270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64</w:t>
      </w:r>
      <w:r w:rsidR="008B598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/20</w:t>
      </w:r>
      <w:r w:rsidR="008E270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25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</w:p>
    <w:p w14:paraId="48720393" w14:textId="7F141BBC" w:rsidR="005E0A5C" w:rsidRPr="00231B67" w:rsidRDefault="005E0A5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TOP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reglementat pentru serviciul de operare a pieței energiei electrice, prestat Furnizorului de către operatorul pieței 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energiei electrice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anul „n”, lei/MWh, calculat de operatorul </w:t>
      </w:r>
      <w:r w:rsidR="00B27A5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pieţei energiei electrice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și aprobat de Agenție în conformitate cu prevederile Metodologiei de calculare, aprobare și aplicare a tarifului reglementat pentru serviciul de operare a pieței energiei electrice (aprobat prin Hotărârea Consiliului de administrație al Agenției nr. 395/2019).</w:t>
      </w:r>
    </w:p>
    <w:p w14:paraId="26C08198" w14:textId="533E25F0" w:rsidR="00C438BD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7.</w:t>
      </w:r>
      <w:r w:rsidR="00B61CF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anul „n” consumatorilor finali, ale căror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înaltă (TI):</w:t>
      </w:r>
    </w:p>
    <w:p w14:paraId="42386FE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68D3842" w14:textId="20C489C9" w:rsidR="00CD61BD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nît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nît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</m:t>
          </m:r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(10)</m:t>
          </m:r>
        </m:oMath>
      </m:oMathPara>
    </w:p>
    <w:p w14:paraId="77756C5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EC93391" w14:textId="0661C5FA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FF4B659" w14:textId="77777777" w:rsidR="00BC2C55" w:rsidRPr="00231B67" w:rsidRDefault="00BC2C5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7CC4148" w14:textId="3D3030EE" w:rsidR="00C438BD" w:rsidRPr="00231B67" w:rsidRDefault="009361A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TD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nît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 calculat la 1 kWh şi prestat Furnizorului în anul „n” de operatorul sistemului de distribuţie prin reţelele electrice de distribuţie de înaltă tensiune, lei/kWh, aprobat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conformitate cu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F4522E" w:rsidRPr="00F4522E" w:rsidDel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31F12785" w14:textId="6328A873" w:rsidR="00C438BD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7.</w:t>
      </w:r>
      <w:r w:rsid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anul „n” consumatorilor finali,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medie (TM):</w:t>
      </w:r>
    </w:p>
    <w:p w14:paraId="0B85F448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CF93544" w14:textId="1F712C69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612FEE7" w14:textId="586D1E7D" w:rsidR="00BF1018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nmt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nmt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(11)</m:t>
          </m:r>
        </m:oMath>
      </m:oMathPara>
    </w:p>
    <w:p w14:paraId="6F7D33A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132EE6D" w14:textId="6C161373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5F517AB" w14:textId="77777777" w:rsidR="00231B67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9F188F8" w14:textId="7CD2012F" w:rsidR="00C438BD" w:rsidRPr="00231B67" w:rsidRDefault="009361A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TD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nmt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per 1 kWh şi prestat Furnizorului în anul „n” de operatorul sistemului de distribuţie prin reţelele electrice de distribuţie de medie tensiune, lei/kWh, aprobat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12203C82" w14:textId="23F5DEA2" w:rsidR="00C438BD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7.</w:t>
      </w:r>
      <w:r w:rsid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energia electrică furnizată în anul „n” consumatorilor finali,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joasă (TJ):</w:t>
      </w:r>
    </w:p>
    <w:p w14:paraId="79BDF35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72DE9BD" w14:textId="70EA653D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7178E2D" w14:textId="041B7C74" w:rsidR="00BF1018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VF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njt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njt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CEP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EFC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</m:t>
          </m:r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(12)</m:t>
          </m:r>
        </m:oMath>
      </m:oMathPara>
    </w:p>
    <w:p w14:paraId="076CBEEC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1E50D3E" w14:textId="7D0F0FC9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45DD9B10" w14:textId="77777777" w:rsidR="00BF1018" w:rsidRPr="00231B67" w:rsidRDefault="00BF1018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B39F57C" w14:textId="1F846967" w:rsidR="00C438BD" w:rsidRPr="00231B67" w:rsidRDefault="009361A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TD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njt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m</m:t>
            </m:r>
          </m:sup>
        </m:sSubSup>
      </m:oMath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la 1 kWh şi prestat Furnizorului în anul „n” de operatorul sistemului de distribuţie prin reţelele electrice de distribuţie de joasă tensiune, lei/kWh, aprobat de Agenţie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</w:p>
    <w:p w14:paraId="798BA0E3" w14:textId="4D059DFF" w:rsidR="00C438BD" w:rsidRPr="00231B67" w:rsidRDefault="00C438BD" w:rsidP="00231B67">
      <w:pPr>
        <w:pStyle w:val="a7"/>
        <w:numPr>
          <w:ilvl w:val="0"/>
          <w:numId w:val="2"/>
        </w:numPr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cazul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de tip binom costurile Furnizorului se divizează în două componente tarifare:</w:t>
      </w:r>
    </w:p>
    <w:p w14:paraId="7CA814A1" w14:textId="0F10A5F8" w:rsidR="00C438BD" w:rsidRPr="007729A0" w:rsidRDefault="00231B67" w:rsidP="007729A0">
      <w:pPr>
        <w:pStyle w:val="a7"/>
        <w:numPr>
          <w:ilvl w:val="1"/>
          <w:numId w:val="2"/>
        </w:numPr>
        <w:ind w:firstLine="66"/>
        <w:jc w:val="both"/>
        <w:rPr>
          <w:sz w:val="24"/>
          <w:szCs w:val="24"/>
          <w:lang w:val="ro-MD" w:eastAsia="ru-RU"/>
        </w:rPr>
      </w:pPr>
      <w:r w:rsidRPr="007729A0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7729A0">
        <w:rPr>
          <w:sz w:val="24"/>
          <w:szCs w:val="24"/>
          <w:lang w:val="ro-MD" w:eastAsia="ru-RU"/>
        </w:rPr>
        <w:t>preţ</w:t>
      </w:r>
      <w:proofErr w:type="spellEnd"/>
      <w:r w:rsidR="00C438BD" w:rsidRPr="007729A0">
        <w:rPr>
          <w:sz w:val="24"/>
          <w:szCs w:val="24"/>
          <w:lang w:val="ro-MD" w:eastAsia="ru-RU"/>
        </w:rPr>
        <w:t xml:space="preserve"> reglementat pentru cantitatea de energie electrică furnizată, lei/kWh;</w:t>
      </w:r>
    </w:p>
    <w:p w14:paraId="572C618B" w14:textId="4628F14B" w:rsidR="00C438BD" w:rsidRPr="007729A0" w:rsidRDefault="00231B67" w:rsidP="007729A0">
      <w:pPr>
        <w:pStyle w:val="a7"/>
        <w:numPr>
          <w:ilvl w:val="1"/>
          <w:numId w:val="2"/>
        </w:numPr>
        <w:ind w:firstLine="66"/>
        <w:jc w:val="both"/>
        <w:rPr>
          <w:sz w:val="24"/>
          <w:szCs w:val="24"/>
          <w:lang w:val="ro-MD" w:eastAsia="ru-RU"/>
        </w:rPr>
      </w:pPr>
      <w:r w:rsidRPr="007729A0">
        <w:rPr>
          <w:sz w:val="24"/>
          <w:szCs w:val="24"/>
          <w:lang w:val="ro-MD" w:eastAsia="ru-RU"/>
        </w:rPr>
        <w:t xml:space="preserve"> </w:t>
      </w:r>
      <w:r w:rsidR="00C438BD" w:rsidRPr="007729A0">
        <w:rPr>
          <w:sz w:val="24"/>
          <w:szCs w:val="24"/>
          <w:lang w:val="ro-MD" w:eastAsia="ru-RU"/>
        </w:rPr>
        <w:t>tarif pentru puterea electrică contractată, lei/kW.</w:t>
      </w:r>
    </w:p>
    <w:p w14:paraId="5CA6F17A" w14:textId="2B7FA5ED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 xml:space="preserve">În acest caz, veniturile Furnizorului de la furnizarea energiei electrice consumatorilor finali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VF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respectiv, plata necesară de a fi achitată pentru energia electrică furnizată în anul „n” 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PAC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), se vor determina </w:t>
      </w:r>
      <w:r w:rsidR="00F95C03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luând în considerare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energia electrică furnizată (</w:t>
      </w:r>
      <w:r w:rsidR="003B772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distribuită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 precum şi puterea contractată de către consumatorii finali, conform formulei:</w:t>
      </w:r>
    </w:p>
    <w:p w14:paraId="0B8AC95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B9EB4E9" w14:textId="29385EC7" w:rsidR="00C438BD" w:rsidRPr="00811F7F" w:rsidRDefault="009361AC" w:rsidP="00231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PAC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PFE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TBE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nk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nk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(13)</m:t>
          </m:r>
        </m:oMath>
      </m:oMathPara>
    </w:p>
    <w:p w14:paraId="328F062B" w14:textId="4E16A244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555BF7A6" w14:textId="77777777" w:rsidR="003848D1" w:rsidRPr="00231B67" w:rsidRDefault="003848D1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3EC69F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anul „n”, consumatorilor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(„TÎ”, „TM”, „TJ”), kWh;</w:t>
      </w:r>
    </w:p>
    <w:p w14:paraId="0FA9705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PFE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reglementat pentru energia electrică furnizată în anul „n”, consumatorilor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lei/kWh. Acest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determină conform formulei:</w:t>
      </w:r>
    </w:p>
    <w:p w14:paraId="72466927" w14:textId="6A41055A" w:rsidR="00C438BD" w:rsidRPr="007729A0" w:rsidRDefault="00C438BD" w:rsidP="00863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ro-MD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PFE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nd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CEP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EFC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PF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TT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val="ro-MD"/>
            </w:rPr>
            <m:t xml:space="preserve">    (14)</m:t>
          </m:r>
        </m:oMath>
      </m:oMathPara>
    </w:p>
    <w:p w14:paraId="783871C3" w14:textId="46B140B7" w:rsidR="003B7724" w:rsidRPr="00231B67" w:rsidRDefault="009361AC" w:rsidP="003B77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EDC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nd</m:t>
            </m:r>
          </m:sub>
        </m:sSub>
      </m:oMath>
      <w:r w:rsidR="003B7724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 xml:space="preserve"> – </w:t>
      </w:r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cantitatea de energie electrică </w:t>
      </w:r>
      <w:r w:rsidR="003B772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distribuită</w:t>
      </w:r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anul „n”, consumatorilor finali ale căror </w:t>
      </w:r>
      <w:proofErr w:type="spellStart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3B772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(„TÎ”, „TM”, „TJ”), kWh;</w:t>
      </w:r>
    </w:p>
    <w:p w14:paraId="60B2A904" w14:textId="4C1A07C6" w:rsidR="003B7724" w:rsidRPr="00231B67" w:rsidRDefault="003B7724" w:rsidP="003B77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TBE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tariful pentru cantitatea de energie electrică distribuită din componența tarifului binom pentru serviciul de distribuţie a energiei electrice prestat de OSD prin </w:t>
      </w:r>
      <w:proofErr w:type="spellStart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nivelul „k” de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tensiune, lei/kWh.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123CF0EF" w14:textId="35F3F22E" w:rsidR="00C438BD" w:rsidRPr="00231B67" w:rsidRDefault="00C438BD" w:rsidP="008632FF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puterea contractată în anul „n” 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corespunzător nivelului „k” de tensiune, kW;</w:t>
      </w:r>
    </w:p>
    <w:p w14:paraId="46F3CCBA" w14:textId="77777777" w:rsidR="00222909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nk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în anul „n” pentru puterea electrică contractată aferentă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cu nivelul „k” de tensiune, lei/kW. </w:t>
      </w:r>
    </w:p>
    <w:p w14:paraId="6B67CEAF" w14:textId="35CC5BAD" w:rsidR="00222909" w:rsidRPr="00231B67" w:rsidRDefault="00222909" w:rsidP="00222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Tarifele pentru puterea electrică contractată și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tarifele pentru cantitatea de energie electrică distribuită din componența tarifului binom pentru serviciul de distribuţie a energiei electrice prestat de OSD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determină în conformitate cu Metodologia de calculare, aprobare şi ajustare a tarifelor pentru serviciul de distribuţie a energiei electrice şi se aprobă de către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lei/kW/lună pentru fiecare nivel de tensiune 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(„TÎ”, „TM” şi „TJ”);</w:t>
      </w:r>
    </w:p>
    <w:p w14:paraId="73C7BF00" w14:textId="7BE5CBB8" w:rsidR="00C438BD" w:rsidRPr="00231B67" w:rsidRDefault="00C438BD" w:rsidP="00231B67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Atât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F95C03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de tip monom, cât şi cele de tip binom pot fi </w:t>
      </w:r>
      <w:proofErr w:type="spellStart"/>
      <w:r w:rsidRPr="00231B67">
        <w:rPr>
          <w:sz w:val="24"/>
          <w:szCs w:val="24"/>
          <w:lang w:val="ro-MD" w:eastAsia="ru-RU"/>
        </w:rPr>
        <w:t>diferenţiate</w:t>
      </w:r>
      <w:proofErr w:type="spellEnd"/>
      <w:r w:rsidRPr="00231B67">
        <w:rPr>
          <w:sz w:val="24"/>
          <w:szCs w:val="24"/>
          <w:lang w:val="ro-MD" w:eastAsia="ru-RU"/>
        </w:rPr>
        <w:t xml:space="preserve"> în </w:t>
      </w:r>
      <w:proofErr w:type="spellStart"/>
      <w:r w:rsidRPr="00231B67">
        <w:rPr>
          <w:sz w:val="24"/>
          <w:szCs w:val="24"/>
          <w:lang w:val="ro-MD" w:eastAsia="ru-RU"/>
        </w:rPr>
        <w:t>funcţie</w:t>
      </w:r>
      <w:proofErr w:type="spellEnd"/>
      <w:r w:rsidRPr="00231B67">
        <w:rPr>
          <w:sz w:val="24"/>
          <w:szCs w:val="24"/>
          <w:lang w:val="ro-MD" w:eastAsia="ru-RU"/>
        </w:rPr>
        <w:t xml:space="preserve"> de orele de consum.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2338D4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în </w:t>
      </w:r>
      <w:proofErr w:type="spellStart"/>
      <w:r w:rsidRPr="00231B67">
        <w:rPr>
          <w:sz w:val="24"/>
          <w:szCs w:val="24"/>
          <w:lang w:val="ro-MD" w:eastAsia="ru-RU"/>
        </w:rPr>
        <w:t>funcţie</w:t>
      </w:r>
      <w:proofErr w:type="spellEnd"/>
      <w:r w:rsidRPr="00231B67">
        <w:rPr>
          <w:sz w:val="24"/>
          <w:szCs w:val="24"/>
          <w:lang w:val="ro-MD" w:eastAsia="ru-RU"/>
        </w:rPr>
        <w:t xml:space="preserve"> de orele de consum se determină de Furnizor şi se aprobă de </w:t>
      </w:r>
      <w:proofErr w:type="spellStart"/>
      <w:r w:rsidRPr="00231B67">
        <w:rPr>
          <w:sz w:val="24"/>
          <w:szCs w:val="24"/>
          <w:lang w:val="ro-MD" w:eastAsia="ru-RU"/>
        </w:rPr>
        <w:t>Agenţie</w:t>
      </w:r>
      <w:proofErr w:type="spellEnd"/>
      <w:r w:rsidRPr="00231B67">
        <w:rPr>
          <w:sz w:val="24"/>
          <w:szCs w:val="24"/>
          <w:lang w:val="ro-MD" w:eastAsia="ru-RU"/>
        </w:rPr>
        <w:t xml:space="preserve"> în modul stabilit de </w:t>
      </w:r>
      <w:r w:rsidR="00F4522E">
        <w:rPr>
          <w:sz w:val="24"/>
          <w:szCs w:val="24"/>
          <w:lang w:val="ro-MD" w:eastAsia="ru-RU"/>
        </w:rPr>
        <w:t>Legea nr. 164/2025 cu privire la energia electrică</w:t>
      </w:r>
      <w:r w:rsidRPr="00231B67">
        <w:rPr>
          <w:sz w:val="24"/>
          <w:szCs w:val="24"/>
          <w:lang w:val="ro-MD" w:eastAsia="ru-RU"/>
        </w:rPr>
        <w:t xml:space="preserve">, </w:t>
      </w:r>
      <w:r w:rsidR="008209FE" w:rsidRPr="00231B67">
        <w:rPr>
          <w:sz w:val="24"/>
          <w:szCs w:val="24"/>
          <w:lang w:val="ro-MD" w:eastAsia="ru-RU"/>
        </w:rPr>
        <w:t>luând în considerare</w:t>
      </w:r>
      <w:r w:rsidRPr="00231B67">
        <w:rPr>
          <w:sz w:val="24"/>
          <w:szCs w:val="24"/>
          <w:lang w:val="ro-MD" w:eastAsia="ru-RU"/>
        </w:rPr>
        <w:t xml:space="preserve"> condiţiile stipulate în contractele de procurare a energiei electrice de la producătorii autohtoni şi din import privind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de procurare a energiei electrice, </w:t>
      </w:r>
      <w:proofErr w:type="spellStart"/>
      <w:r w:rsidRPr="00231B67">
        <w:rPr>
          <w:sz w:val="24"/>
          <w:szCs w:val="24"/>
          <w:lang w:val="ro-MD" w:eastAsia="ru-RU"/>
        </w:rPr>
        <w:t>diferenţiate</w:t>
      </w:r>
      <w:proofErr w:type="spellEnd"/>
      <w:r w:rsidRPr="00231B67">
        <w:rPr>
          <w:sz w:val="24"/>
          <w:szCs w:val="24"/>
          <w:lang w:val="ro-MD" w:eastAsia="ru-RU"/>
        </w:rPr>
        <w:t xml:space="preserve"> în </w:t>
      </w:r>
      <w:proofErr w:type="spellStart"/>
      <w:r w:rsidRPr="00231B67">
        <w:rPr>
          <w:sz w:val="24"/>
          <w:szCs w:val="24"/>
          <w:lang w:val="ro-MD" w:eastAsia="ru-RU"/>
        </w:rPr>
        <w:t>funcţie</w:t>
      </w:r>
      <w:proofErr w:type="spellEnd"/>
      <w:r w:rsidRPr="00231B67">
        <w:rPr>
          <w:sz w:val="24"/>
          <w:szCs w:val="24"/>
          <w:lang w:val="ro-MD" w:eastAsia="ru-RU"/>
        </w:rPr>
        <w:t xml:space="preserve"> de orele de consum (orele de zi, orele de noapte şi orele de vârf</w:t>
      </w:r>
      <w:r w:rsidR="008209FE" w:rsidRPr="00231B67">
        <w:rPr>
          <w:sz w:val="24"/>
          <w:szCs w:val="24"/>
          <w:lang w:val="ro-MD" w:eastAsia="ru-RU"/>
        </w:rPr>
        <w:t xml:space="preserve"> ale curbei de sarcină</w:t>
      </w:r>
      <w:r w:rsidRPr="00231B67">
        <w:rPr>
          <w:sz w:val="24"/>
          <w:szCs w:val="24"/>
          <w:lang w:val="ro-MD" w:eastAsia="ru-RU"/>
        </w:rPr>
        <w:t xml:space="preserve">). În acest caz,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</w:t>
      </w:r>
      <w:r w:rsidR="008209FE" w:rsidRPr="00231B67">
        <w:rPr>
          <w:sz w:val="24"/>
          <w:szCs w:val="24"/>
          <w:lang w:val="ro-MD" w:eastAsia="ru-RU"/>
        </w:rPr>
        <w:t xml:space="preserve">pentru </w:t>
      </w:r>
      <w:r w:rsidRPr="00231B67">
        <w:rPr>
          <w:sz w:val="24"/>
          <w:szCs w:val="24"/>
          <w:lang w:val="ro-MD" w:eastAsia="ru-RU"/>
        </w:rPr>
        <w:t xml:space="preserve">furnizarea energiei electrice se determină în conformitate cu </w:t>
      </w:r>
      <w:r w:rsidRPr="00F11A61">
        <w:rPr>
          <w:sz w:val="24"/>
          <w:szCs w:val="24"/>
          <w:lang w:val="ro-MD" w:eastAsia="ru-RU"/>
        </w:rPr>
        <w:t>formulele (</w:t>
      </w:r>
      <w:r w:rsidR="00931C7F" w:rsidRPr="00F11A61">
        <w:rPr>
          <w:sz w:val="24"/>
          <w:szCs w:val="24"/>
          <w:lang w:val="ro-MD" w:eastAsia="ru-RU"/>
        </w:rPr>
        <w:t>9</w:t>
      </w:r>
      <w:r w:rsidRPr="00F11A61">
        <w:rPr>
          <w:sz w:val="24"/>
          <w:szCs w:val="24"/>
          <w:lang w:val="ro-MD" w:eastAsia="ru-RU"/>
        </w:rPr>
        <w:t>)</w:t>
      </w:r>
      <w:r w:rsidR="00231B67" w:rsidRPr="00F11A61">
        <w:rPr>
          <w:sz w:val="24"/>
          <w:szCs w:val="24"/>
          <w:lang w:val="ro-MD" w:eastAsia="ru-RU"/>
        </w:rPr>
        <w:t xml:space="preserve"> </w:t>
      </w:r>
      <w:r w:rsidRPr="00F11A61">
        <w:rPr>
          <w:sz w:val="24"/>
          <w:szCs w:val="24"/>
          <w:lang w:val="ro-MD" w:eastAsia="ru-RU"/>
        </w:rPr>
        <w:t>–</w:t>
      </w:r>
      <w:r w:rsidR="00231B67" w:rsidRPr="00F11A61">
        <w:rPr>
          <w:sz w:val="24"/>
          <w:szCs w:val="24"/>
          <w:lang w:val="ro-MD" w:eastAsia="ru-RU"/>
        </w:rPr>
        <w:t xml:space="preserve"> </w:t>
      </w:r>
      <w:r w:rsidRPr="00F11A61">
        <w:rPr>
          <w:sz w:val="24"/>
          <w:szCs w:val="24"/>
          <w:lang w:val="ro-MD" w:eastAsia="ru-RU"/>
        </w:rPr>
        <w:t>(1</w:t>
      </w:r>
      <w:r w:rsidR="00931C7F" w:rsidRPr="00F11A61">
        <w:rPr>
          <w:sz w:val="24"/>
          <w:szCs w:val="24"/>
          <w:lang w:val="ro-MD" w:eastAsia="ru-RU"/>
        </w:rPr>
        <w:t>4</w:t>
      </w:r>
      <w:r w:rsidRPr="00F11A61">
        <w:rPr>
          <w:sz w:val="24"/>
          <w:szCs w:val="24"/>
          <w:lang w:val="ro-MD" w:eastAsia="ru-RU"/>
        </w:rPr>
        <w:t>) pentru</w:t>
      </w:r>
      <w:r w:rsidRPr="00231B67">
        <w:rPr>
          <w:sz w:val="24"/>
          <w:szCs w:val="24"/>
          <w:lang w:val="ro-MD" w:eastAsia="ru-RU"/>
        </w:rPr>
        <w:t xml:space="preserve"> fiecare interval al orelor de consum</w:t>
      </w:r>
      <w:r w:rsidR="009D7BFE" w:rsidRPr="00231B67">
        <w:rPr>
          <w:sz w:val="24"/>
          <w:szCs w:val="24"/>
          <w:lang w:val="ro-MD" w:eastAsia="ru-RU"/>
        </w:rPr>
        <w:t>,</w:t>
      </w:r>
      <w:r w:rsidRPr="00231B67">
        <w:rPr>
          <w:sz w:val="24"/>
          <w:szCs w:val="24"/>
          <w:lang w:val="ro-MD" w:eastAsia="ru-RU"/>
        </w:rPr>
        <w:t xml:space="preserve"> iar celelalte componente ale </w:t>
      </w:r>
      <w:proofErr w:type="spellStart"/>
      <w:r w:rsidRPr="00231B67">
        <w:rPr>
          <w:sz w:val="24"/>
          <w:szCs w:val="24"/>
          <w:lang w:val="ro-MD" w:eastAsia="ru-RU"/>
        </w:rPr>
        <w:t>preţurilor</w:t>
      </w:r>
      <w:proofErr w:type="spellEnd"/>
      <w:r w:rsidRPr="00231B67">
        <w:rPr>
          <w:sz w:val="24"/>
          <w:szCs w:val="24"/>
          <w:lang w:val="ro-MD" w:eastAsia="ru-RU"/>
        </w:rPr>
        <w:t xml:space="preserve"> reglementate nu depind de orele de consum.</w:t>
      </w:r>
    </w:p>
    <w:p w14:paraId="50F75F88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D18BA0D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4</w:t>
      </w:r>
    </w:p>
    <w:p w14:paraId="78A64FCC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Determinarea costurilor şi a cheltuielilor</w:t>
      </w:r>
    </w:p>
    <w:p w14:paraId="1F504577" w14:textId="48D3113F" w:rsidR="00C438BD" w:rsidRPr="00231B67" w:rsidRDefault="008218A6" w:rsidP="00231B67">
      <w:pPr>
        <w:pStyle w:val="a7"/>
        <w:numPr>
          <w:ilvl w:val="0"/>
          <w:numId w:val="2"/>
        </w:numPr>
        <w:spacing w:before="240"/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conformitate </w:t>
      </w:r>
      <w:r w:rsidRPr="00F11A61">
        <w:rPr>
          <w:sz w:val="24"/>
          <w:szCs w:val="24"/>
          <w:lang w:val="ro-MD" w:eastAsia="ru-RU"/>
        </w:rPr>
        <w:t>cu</w:t>
      </w:r>
      <w:r w:rsidR="00C438BD" w:rsidRPr="00F11A61">
        <w:rPr>
          <w:sz w:val="24"/>
          <w:szCs w:val="24"/>
          <w:lang w:val="ro-MD" w:eastAsia="ru-RU"/>
        </w:rPr>
        <w:t xml:space="preserve"> punctul </w:t>
      </w:r>
      <w:r w:rsidR="00811F7F" w:rsidRPr="00F11A61">
        <w:rPr>
          <w:sz w:val="24"/>
          <w:szCs w:val="24"/>
          <w:lang w:val="ro-MD" w:eastAsia="ru-RU"/>
        </w:rPr>
        <w:t>5</w:t>
      </w:r>
      <w:r w:rsidR="00C438BD" w:rsidRPr="00F11A61">
        <w:rPr>
          <w:sz w:val="24"/>
          <w:szCs w:val="24"/>
          <w:lang w:val="ro-MD" w:eastAsia="ru-RU"/>
        </w:rPr>
        <w:t xml:space="preserve">, în </w:t>
      </w:r>
      <w:proofErr w:type="spellStart"/>
      <w:r w:rsidR="00C438BD" w:rsidRPr="00231B67">
        <w:rPr>
          <w:sz w:val="24"/>
          <w:szCs w:val="24"/>
          <w:lang w:val="ro-MD" w:eastAsia="ru-RU"/>
        </w:rPr>
        <w:t>componenţa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costurilor </w:t>
      </w:r>
      <w:proofErr w:type="spellStart"/>
      <w:r w:rsidR="00C438BD" w:rsidRPr="00231B67">
        <w:rPr>
          <w:sz w:val="24"/>
          <w:szCs w:val="24"/>
          <w:lang w:val="ro-MD" w:eastAsia="ru-RU"/>
        </w:rPr>
        <w:t>şi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a cheltuielilor totale ale Furnizorului se includ costul energiei electrice procurate de către Furnizor pentru a fi furnizată în anul de reglementare „n” tuturor consumatorilor (</w:t>
      </w:r>
      <w:proofErr w:type="spellStart"/>
      <w:r w:rsidR="00C438BD" w:rsidRPr="00231B67">
        <w:rPr>
          <w:sz w:val="24"/>
          <w:szCs w:val="24"/>
          <w:lang w:val="ro-MD" w:eastAsia="ru-RU"/>
        </w:rPr>
        <w:t>CEP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>), cheltuielile suportate de Furnizor pentru achitarea serviciului de transport al energiei electrice (</w:t>
      </w:r>
      <w:proofErr w:type="spellStart"/>
      <w:r w:rsidR="00C438BD" w:rsidRPr="00231B67">
        <w:rPr>
          <w:sz w:val="24"/>
          <w:szCs w:val="24"/>
          <w:lang w:val="ro-MD" w:eastAsia="ru-RU"/>
        </w:rPr>
        <w:t>CST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), prestat de operatorul sistemului de transport, cheltuielile suportate de Furnizor pentru achitarea serviciului de distribuţie a energiei </w:t>
      </w:r>
      <w:r w:rsidR="00C438BD" w:rsidRPr="00231B67">
        <w:rPr>
          <w:sz w:val="24"/>
          <w:szCs w:val="24"/>
          <w:lang w:val="ro-MD" w:eastAsia="ru-RU"/>
        </w:rPr>
        <w:lastRenderedPageBreak/>
        <w:t>electrice (</w:t>
      </w:r>
      <w:proofErr w:type="spellStart"/>
      <w:r w:rsidR="00C438BD" w:rsidRPr="00231B67">
        <w:rPr>
          <w:sz w:val="24"/>
          <w:szCs w:val="24"/>
          <w:lang w:val="ro-MD" w:eastAsia="ru-RU"/>
        </w:rPr>
        <w:t>CSD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), prestat de operatorul sistemului de distribuţie şi costurile şi cheltuielile Furnizorului aferente </w:t>
      </w:r>
      <w:proofErr w:type="spellStart"/>
      <w:r w:rsidR="00C438BD" w:rsidRPr="00231B67">
        <w:rPr>
          <w:sz w:val="24"/>
          <w:szCs w:val="24"/>
          <w:lang w:val="ro-MD" w:eastAsia="ru-RU"/>
        </w:rPr>
        <w:t>desfăşurării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sz w:val="24"/>
          <w:szCs w:val="24"/>
          <w:lang w:val="ro-MD" w:eastAsia="ru-RU"/>
        </w:rPr>
        <w:t>activităţii</w:t>
      </w:r>
      <w:proofErr w:type="spellEnd"/>
      <w:r w:rsidR="00C438BD" w:rsidRPr="00231B67">
        <w:rPr>
          <w:sz w:val="24"/>
          <w:szCs w:val="24"/>
          <w:lang w:val="ro-MD" w:eastAsia="ru-RU"/>
        </w:rPr>
        <w:t xml:space="preserve"> de furnizare a energiei electrice (</w:t>
      </w:r>
      <w:proofErr w:type="spellStart"/>
      <w:r w:rsidR="00C438BD" w:rsidRPr="00231B67">
        <w:rPr>
          <w:sz w:val="24"/>
          <w:szCs w:val="24"/>
          <w:lang w:val="ro-MD" w:eastAsia="ru-RU"/>
        </w:rPr>
        <w:t>CSF</w:t>
      </w:r>
      <w:r w:rsidR="00C438BD" w:rsidRPr="00231B67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sz w:val="24"/>
          <w:szCs w:val="24"/>
          <w:lang w:val="ro-MD" w:eastAsia="ru-RU"/>
        </w:rPr>
        <w:t>).</w:t>
      </w:r>
    </w:p>
    <w:p w14:paraId="65859F8C" w14:textId="12627586" w:rsidR="00C438BD" w:rsidRPr="00231B67" w:rsidRDefault="00C438BD" w:rsidP="00231B67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Costul energiei electrice procurate în anul de reglementare „n” se determină </w:t>
      </w:r>
      <w:r w:rsidR="008B4DA4" w:rsidRPr="00231B67">
        <w:rPr>
          <w:sz w:val="24"/>
          <w:szCs w:val="24"/>
          <w:lang w:val="ro-MD" w:eastAsia="ru-RU"/>
        </w:rPr>
        <w:t xml:space="preserve">luând în considerare </w:t>
      </w:r>
      <w:r w:rsidRPr="00231B67">
        <w:rPr>
          <w:sz w:val="24"/>
          <w:szCs w:val="24"/>
          <w:lang w:val="ro-MD" w:eastAsia="ru-RU"/>
        </w:rPr>
        <w:t xml:space="preserve">cantitatea de energie electrică procurată pentru furnizare tuturor consumatorilor </w:t>
      </w:r>
      <w:r w:rsidR="008B4DA4" w:rsidRPr="00231B67">
        <w:rPr>
          <w:sz w:val="24"/>
          <w:szCs w:val="24"/>
          <w:lang w:val="ro-MD" w:eastAsia="ru-RU"/>
        </w:rPr>
        <w:t xml:space="preserve">finali </w:t>
      </w:r>
      <w:proofErr w:type="spellStart"/>
      <w:r w:rsidRPr="00231B67">
        <w:rPr>
          <w:sz w:val="24"/>
          <w:szCs w:val="24"/>
          <w:lang w:val="ro-MD" w:eastAsia="ru-RU"/>
        </w:rPr>
        <w:t>deserviţi</w:t>
      </w:r>
      <w:proofErr w:type="spellEnd"/>
      <w:r w:rsidRPr="00231B67">
        <w:rPr>
          <w:sz w:val="24"/>
          <w:szCs w:val="24"/>
          <w:lang w:val="ro-MD" w:eastAsia="ru-RU"/>
        </w:rPr>
        <w:t xml:space="preserve"> de Furnizor </w:t>
      </w:r>
      <w:proofErr w:type="spellStart"/>
      <w:r w:rsidRPr="00231B67">
        <w:rPr>
          <w:sz w:val="24"/>
          <w:szCs w:val="24"/>
          <w:lang w:val="ro-MD" w:eastAsia="ru-RU"/>
        </w:rPr>
        <w:t>şi</w:t>
      </w:r>
      <w:proofErr w:type="spellEnd"/>
      <w:r w:rsidRPr="00231B67">
        <w:rPr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sz w:val="24"/>
          <w:szCs w:val="24"/>
          <w:lang w:val="ro-MD" w:eastAsia="ru-RU"/>
        </w:rPr>
        <w:t>preţurile</w:t>
      </w:r>
      <w:proofErr w:type="spellEnd"/>
      <w:r w:rsidRPr="00231B67">
        <w:rPr>
          <w:sz w:val="24"/>
          <w:szCs w:val="24"/>
          <w:lang w:val="ro-MD" w:eastAsia="ru-RU"/>
        </w:rPr>
        <w:t xml:space="preserve"> de procurare a</w:t>
      </w:r>
      <w:r w:rsidR="00F45F56" w:rsidRPr="00231B67">
        <w:rPr>
          <w:sz w:val="24"/>
          <w:szCs w:val="24"/>
          <w:lang w:val="ro-MD" w:eastAsia="ru-RU"/>
        </w:rPr>
        <w:t>l</w:t>
      </w:r>
      <w:r w:rsidRPr="00231B67">
        <w:rPr>
          <w:sz w:val="24"/>
          <w:szCs w:val="24"/>
          <w:lang w:val="ro-MD" w:eastAsia="ru-RU"/>
        </w:rPr>
        <w:t xml:space="preserve"> energi</w:t>
      </w:r>
      <w:r w:rsidR="006D7B94">
        <w:rPr>
          <w:sz w:val="24"/>
          <w:szCs w:val="24"/>
          <w:lang w:val="ro-MD" w:eastAsia="ru-RU"/>
        </w:rPr>
        <w:t>e</w:t>
      </w:r>
      <w:r w:rsidRPr="00231B67">
        <w:rPr>
          <w:sz w:val="24"/>
          <w:szCs w:val="24"/>
          <w:lang w:val="ro-MD" w:eastAsia="ru-RU"/>
        </w:rPr>
        <w:t>i electrice, conform formulei:</w:t>
      </w:r>
    </w:p>
    <w:p w14:paraId="5246BC5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B23FC86" w14:textId="6FBA9B83" w:rsidR="00297962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CEP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(15)</m:t>
          </m:r>
        </m:oMath>
      </m:oMathPara>
    </w:p>
    <w:p w14:paraId="5F4E13F3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1603D66" w14:textId="619200D5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3936C6B8" w14:textId="77777777" w:rsidR="00231B67" w:rsidRPr="00231B67" w:rsidRDefault="00231B67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4205003" w14:textId="2D830DAF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totală de energie electrică necesară a fi procurată de Furnizor în anul „n” pentru a fi furnizată tuturor consumatorilor</w:t>
      </w:r>
      <w:r w:rsidR="008B4DA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finali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acesta</w:t>
      </w:r>
      <w:r w:rsidR="004B496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kWh;</w:t>
      </w:r>
    </w:p>
    <w:p w14:paraId="16AA7AC1" w14:textId="17B0BB55" w:rsidR="00C438BD" w:rsidRPr="00231B67" w:rsidRDefault="004E33C6" w:rsidP="008632FF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C</w:t>
      </w:r>
      <w:r w:rsidR="00C438BD"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</w:t>
      </w:r>
      <w:r w:rsidR="00C438BD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costul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mediu de procurare în anul „n” a energiei electrice de către Furnizor de la producătorii autohtoni şi din import (lei/kWh). Acest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determină în baza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</w:t>
      </w:r>
      <w:r w:rsidR="008B4DA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ui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aprobat de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cazul procurării energiei electrice de la </w:t>
      </w:r>
      <w:r w:rsidR="008B4DA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furnizorul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central de </w:t>
      </w:r>
      <w:proofErr w:type="spellStart"/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energei</w:t>
      </w:r>
      <w:proofErr w:type="spellEnd"/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or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prevăzute în contractele de procurare a energiei electrice în cazul procurării energiei electrice din import şi de la producătorii </w:t>
      </w:r>
      <w:proofErr w:type="spellStart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preţurile</w:t>
      </w:r>
      <w:proofErr w:type="spellEnd"/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cărora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sunt negociate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1900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prețurile medii </w:t>
      </w:r>
      <w:r w:rsidR="0089559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energia achiziționată pe piețele organizate pe termen scurt,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precum și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costurilor pentru</w:t>
      </w:r>
      <w:r w:rsidR="003A21B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alocarea capacității și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dezechilibrele provocate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</w:t>
      </w:r>
      <w:r w:rsidR="004B496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urnizor </w:t>
      </w:r>
      <w:r w:rsidR="003C028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calitate de</w:t>
      </w:r>
      <w:r w:rsidR="00D3081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participant al pieței energiei electrice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Acest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cost 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determină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conform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următo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ei formule</w:t>
      </w:r>
      <w:r w:rsidR="00C438B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2533F4BD" w14:textId="32104B96" w:rsidR="00A24990" w:rsidRPr="00231B67" w:rsidRDefault="009361A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CE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(PER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EPR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PEL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EPL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CRS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+RFD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EFC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lang w:val="ro-MD"/>
            </w:rPr>
            <m:t xml:space="preserve">    (16)</m:t>
          </m:r>
        </m:oMath>
      </m:oMathPara>
    </w:p>
    <w:p w14:paraId="5540BA18" w14:textId="66F5ACCB" w:rsidR="00C438BD" w:rsidRPr="00231B67" w:rsidRDefault="00C438BD" w:rsidP="008632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79F2E3F9" w14:textId="77777777" w:rsidR="00231B67" w:rsidRPr="00231B67" w:rsidRDefault="00231B67" w:rsidP="008632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F3016D7" w14:textId="2D7119C0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PER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procurare de către Furnizor în anul „n” a energiei electrice de la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furnizorul central de energie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lei/kWh;</w:t>
      </w:r>
    </w:p>
    <w:p w14:paraId="62E91410" w14:textId="519538B3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EPR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de energie electrică procurată de către Furnizor în anul „n” de la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furnizorul central de e</w:t>
      </w:r>
      <w:r w:rsidR="00297962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ergie electrică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kWh;</w:t>
      </w:r>
    </w:p>
    <w:p w14:paraId="22B3A17A" w14:textId="0C953644" w:rsidR="00C438BD" w:rsidRPr="00231B67" w:rsidRDefault="00C438BD" w:rsidP="00A51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PEL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mediu ponderat de procurare de către Furnizor a energiei electrice în anul „n” din import şi d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e la producătorii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autohton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negociate</w:t>
      </w:r>
      <w:r w:rsidR="00A51C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sau în rezultatul licitațiilor organizate de Furnizor,</w:t>
      </w:r>
      <w:r w:rsidR="00A51C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precum și energiei achiziționată pe piețele organizate pe termen scurt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lei/kWh;</w:t>
      </w:r>
    </w:p>
    <w:p w14:paraId="60467BDE" w14:textId="36307D2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EPL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cantitatea de energie electrică procurată de către Furnizor în anul „n” din import şi de la producătorii autohtoni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D65AE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negociate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A51C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precum și energia achiziționată pe piețele organizate pe termen scurt</w:t>
      </w:r>
      <w:r w:rsidR="007729A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kWh;</w:t>
      </w:r>
    </w:p>
    <w:p w14:paraId="552E04D0" w14:textId="250CEFEF" w:rsidR="00D76FE3" w:rsidRPr="00231B67" w:rsidRDefault="00936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CRS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ro-MD"/>
          </w:rPr>
          <m:t xml:space="preserve"> </m:t>
        </m:r>
      </m:oMath>
      <w:r w:rsidR="00D76FE3" w:rsidRPr="00231B6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– 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costurile </w:t>
      </w:r>
      <w:r w:rsidR="006A1860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aferente alocării capacității transfrontaliere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pentru importurile de energie</w:t>
      </w:r>
      <w:r w:rsidR="007F6387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electrică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în cazul când contractele bilaterale de procurare a energiei nu prevăd acoperirea acestor costuri</w:t>
      </w:r>
      <w:r w:rsidR="00CA1984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, lei</w:t>
      </w:r>
      <w:r w:rsidR="00D76FE3" w:rsidRPr="00231B6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;</w:t>
      </w:r>
    </w:p>
    <w:p w14:paraId="0B0AD67B" w14:textId="24E17E5D" w:rsidR="004E33C6" w:rsidRPr="00231B67" w:rsidRDefault="004E33C6" w:rsidP="008632FF">
      <w:pPr>
        <w:spacing w:after="12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proofErr w:type="spellStart"/>
      <w:r w:rsidRPr="00231B67">
        <w:rPr>
          <w:rFonts w:ascii="Times New Roman" w:eastAsia="Times New Roman" w:hAnsi="Times New Roman"/>
          <w:i/>
          <w:sz w:val="24"/>
          <w:szCs w:val="24"/>
          <w:lang w:val="ro-MD"/>
        </w:rPr>
        <w:t>RFD</w:t>
      </w:r>
      <w:r w:rsidRPr="00231B67">
        <w:rPr>
          <w:rFonts w:ascii="Times New Roman" w:eastAsia="Times New Roman" w:hAnsi="Times New Roman"/>
          <w:i/>
          <w:sz w:val="24"/>
          <w:szCs w:val="24"/>
          <w:vertAlign w:val="subscript"/>
          <w:lang w:val="ro-MD"/>
        </w:rPr>
        <w:t>n</w:t>
      </w:r>
      <w:proofErr w:type="spellEnd"/>
      <w:r w:rsidRPr="00231B67">
        <w:rPr>
          <w:rFonts w:ascii="Times New Roman" w:eastAsia="Times New Roman" w:hAnsi="Times New Roman"/>
          <w:i/>
          <w:sz w:val="24"/>
          <w:szCs w:val="24"/>
          <w:lang w:val="ro-MD"/>
        </w:rPr>
        <w:t xml:space="preserve"> </w:t>
      </w:r>
      <w:r w:rsidRPr="00231B67">
        <w:rPr>
          <w:rFonts w:ascii="Times New Roman" w:eastAsia="Times New Roman" w:hAnsi="Times New Roman"/>
          <w:i/>
          <w:iCs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/>
          <w:i/>
          <w:sz w:val="24"/>
          <w:szCs w:val="24"/>
          <w:lang w:val="ro-MD"/>
        </w:rPr>
        <w:t xml:space="preserve"> </w:t>
      </w:r>
      <w:r w:rsidR="00D30817" w:rsidRPr="00231B67">
        <w:rPr>
          <w:rFonts w:ascii="Times New Roman" w:eastAsia="Times New Roman" w:hAnsi="Times New Roman"/>
          <w:sz w:val="24"/>
          <w:szCs w:val="24"/>
          <w:lang w:val="ro-MD"/>
        </w:rPr>
        <w:t>costurile pentru dezechilibrele provocate de Furnizor în calitate de participant al pieței energiei electrice</w:t>
      </w:r>
      <w:r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, lei. </w:t>
      </w:r>
      <w:r w:rsidR="00D30817" w:rsidRPr="00231B67">
        <w:rPr>
          <w:rFonts w:ascii="Times New Roman" w:eastAsia="Times New Roman" w:hAnsi="Times New Roman"/>
          <w:sz w:val="24"/>
          <w:szCs w:val="24"/>
          <w:lang w:val="ro-MD"/>
        </w:rPr>
        <w:t>Costurile pentru dezechilibrele acceptate în scopuri tarifare</w:t>
      </w:r>
      <w:r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 se determină după cum urmează:</w:t>
      </w:r>
    </w:p>
    <w:p w14:paraId="39D2F690" w14:textId="5039CBEF" w:rsidR="004E33C6" w:rsidRPr="00231B67" w:rsidRDefault="009361AC" w:rsidP="004E33C6">
      <w:pPr>
        <w:spacing w:before="120" w:after="120" w:line="240" w:lineRule="auto"/>
        <w:ind w:left="284" w:firstLine="283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RFD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ro-MD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0,05×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PE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def,n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+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def,n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-0,05×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EFC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×min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def,n</m:t>
                    </m:r>
                  </m:sub>
                </m:sSub>
              </m:e>
            </m:d>
          </m:e>
        </m:d>
        <m:r>
          <w:rPr>
            <w:rFonts w:ascii="Cambria Math" w:eastAsia="Times New Roman" w:hAnsi="Cambria Math"/>
            <w:sz w:val="24"/>
            <w:szCs w:val="24"/>
            <w:lang w:val="ro-MD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0,05∙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PE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ex,n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+(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ex,n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-0,05×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EFC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)×max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MD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ro-MD"/>
                  </w:rPr>
                  <m:t>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MD"/>
                      </w:rPr>
                      <m:t>ex,n</m:t>
                    </m:r>
                  </m:sub>
                </m:sSub>
              </m:e>
            </m:d>
          </m:e>
        </m:d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  (</w:t>
      </w:r>
      <w:r w:rsidR="007729A0">
        <w:rPr>
          <w:rFonts w:ascii="Times New Roman" w:eastAsia="Times New Roman" w:hAnsi="Times New Roman"/>
          <w:sz w:val="24"/>
          <w:szCs w:val="24"/>
          <w:lang w:val="ro-MD"/>
        </w:rPr>
        <w:t>17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)</w:t>
      </w:r>
    </w:p>
    <w:p w14:paraId="6D49CFE5" w14:textId="77777777" w:rsidR="004E33C6" w:rsidRPr="00231B67" w:rsidRDefault="004E33C6" w:rsidP="004E33C6">
      <w:pPr>
        <w:spacing w:before="120" w:after="120" w:line="240" w:lineRule="auto"/>
        <w:ind w:firstLine="450"/>
        <w:rPr>
          <w:rFonts w:ascii="Times New Roman" w:eastAsia="Times New Roman" w:hAnsi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unde:</w:t>
      </w:r>
    </w:p>
    <w:p w14:paraId="43B97F60" w14:textId="61D532DF" w:rsidR="004E33C6" w:rsidRPr="00231B67" w:rsidRDefault="004E33C6" w:rsidP="004E33C6">
      <w:pPr>
        <w:spacing w:before="120"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/>
          <w:i/>
          <w:iCs/>
          <w:sz w:val="24"/>
          <w:szCs w:val="24"/>
          <w:lang w:val="ro-MD" w:eastAsia="ru-RU"/>
        </w:rPr>
        <w:t>PE</w:t>
      </w:r>
      <w:r w:rsidRPr="00231B67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– prețul mediu de procurare</w:t>
      </w:r>
      <w:r w:rsidR="00574C0E"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de către furnizor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în anul ,,n” a energiei electrice conform notificărilor, exprimat în lei/kWh;</w:t>
      </w:r>
    </w:p>
    <w:p w14:paraId="3E585107" w14:textId="5CE9680B" w:rsidR="004E33C6" w:rsidRPr="00231B67" w:rsidRDefault="009361AC" w:rsidP="004E33C6">
      <w:pPr>
        <w:spacing w:before="120"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def,n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,</w:t>
      </w:r>
      <m:oMath>
        <m:r>
          <w:rPr>
            <w:rFonts w:ascii="Cambria Math" w:eastAsia="Times New Roman" w:hAnsi="Cambria Math"/>
            <w:sz w:val="24"/>
            <w:szCs w:val="24"/>
            <w:lang w:val="ro-MD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ex,n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– </w:t>
      </w:r>
      <w:r w:rsidR="0067539E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energia electrică de deficit, respectiv energia electrică în excedent, aferentă </w:t>
      </w:r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anului „n”, kWh. În cazul în care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def,n</m:t>
            </m:r>
          </m:sub>
        </m:sSub>
      </m:oMath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>, și/sau</w:t>
      </w:r>
      <m:oMath>
        <m:r>
          <w:rPr>
            <w:rFonts w:ascii="Cambria Math" w:eastAsia="Times New Roman" w:hAnsi="Cambria Math"/>
            <w:sz w:val="24"/>
            <w:szCs w:val="24"/>
            <w:lang w:val="ro-MD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ex,n</m:t>
            </m:r>
          </m:sub>
        </m:sSub>
      </m:oMath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 rezultă în valori mai mici decât produsul </w:t>
      </w:r>
      <m:oMath>
        <m:r>
          <w:rPr>
            <w:rFonts w:ascii="Cambria Math" w:eastAsia="Times New Roman" w:hAnsi="Cambria Math"/>
            <w:sz w:val="24"/>
            <w:szCs w:val="24"/>
            <w:lang w:val="ro-MD"/>
          </w:rPr>
          <m:t>0,05×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EFC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n</m:t>
            </m:r>
          </m:sub>
        </m:sSub>
      </m:oMath>
      <w:r w:rsidR="0067539E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, valoarea financiară a costurilor pentru dezechilibrele în deficit și/sau veniturilor pentru dezechilibrele în excedent se </w:t>
      </w:r>
      <w:r w:rsidR="006A614F" w:rsidRPr="007729A0">
        <w:rPr>
          <w:rFonts w:ascii="Times New Roman" w:eastAsia="Times New Roman" w:hAnsi="Times New Roman"/>
          <w:sz w:val="24"/>
          <w:szCs w:val="24"/>
          <w:lang w:val="ro-MD"/>
        </w:rPr>
        <w:t>includ</w:t>
      </w:r>
      <w:r w:rsidR="005D42C5" w:rsidRPr="007729A0">
        <w:rPr>
          <w:rFonts w:ascii="Times New Roman" w:eastAsia="Times New Roman" w:hAnsi="Times New Roman"/>
          <w:sz w:val="24"/>
          <w:szCs w:val="24"/>
          <w:lang w:val="ro-MD"/>
        </w:rPr>
        <w:t>e</w:t>
      </w:r>
      <w:r w:rsidR="006A614F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 integral</w:t>
      </w:r>
      <w:r w:rsidR="00895592" w:rsidRPr="007729A0">
        <w:rPr>
          <w:rFonts w:ascii="Times New Roman" w:eastAsia="Times New Roman" w:hAnsi="Times New Roman"/>
          <w:sz w:val="24"/>
          <w:szCs w:val="24"/>
          <w:lang w:val="ro-MD"/>
        </w:rPr>
        <w:t xml:space="preserve">. </w:t>
      </w:r>
    </w:p>
    <w:p w14:paraId="5D295A80" w14:textId="55AD1367" w:rsidR="004E33C6" w:rsidRPr="00231B67" w:rsidRDefault="009361AC" w:rsidP="004E3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PE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def, 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PE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MD"/>
              </w:rPr>
              <m:t>ex, n</m:t>
            </m:r>
          </m:sub>
        </m:sSub>
      </m:oMath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– prețul mediu ponderat al energiei electrice </w:t>
      </w:r>
      <w:r w:rsidR="006A1860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de 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deficit și</w:t>
      </w:r>
      <w:r w:rsidR="006A1860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 respectiv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="006A1860" w:rsidRPr="00231B67">
        <w:rPr>
          <w:rFonts w:ascii="Times New Roman" w:eastAsia="Times New Roman" w:hAnsi="Times New Roman"/>
          <w:sz w:val="24"/>
          <w:szCs w:val="24"/>
          <w:lang w:val="ro-MD"/>
        </w:rPr>
        <w:t xml:space="preserve">de </w:t>
      </w:r>
      <w:r w:rsidR="004E33C6" w:rsidRPr="00231B67">
        <w:rPr>
          <w:rFonts w:ascii="Times New Roman" w:eastAsia="Times New Roman" w:hAnsi="Times New Roman"/>
          <w:sz w:val="24"/>
          <w:szCs w:val="24"/>
          <w:lang w:val="ro-MD"/>
        </w:rPr>
        <w:t>excedent în anul „n”, lei/kWh.</w:t>
      </w:r>
    </w:p>
    <w:p w14:paraId="1681BBF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68F9164" w14:textId="1A51E536" w:rsidR="00D20D41" w:rsidRDefault="00D20D41" w:rsidP="002B69FD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>Cheltuielile suportate de Furnizor pentru serviciul de operare al</w:t>
      </w:r>
      <w:r w:rsidR="006A1860" w:rsidRPr="00231B67">
        <w:rPr>
          <w:sz w:val="24"/>
          <w:szCs w:val="24"/>
          <w:lang w:val="ro-MD" w:eastAsia="ru-RU"/>
        </w:rPr>
        <w:t xml:space="preserve"> pieței</w:t>
      </w:r>
      <w:r w:rsidRPr="00231B67">
        <w:rPr>
          <w:sz w:val="24"/>
          <w:szCs w:val="24"/>
          <w:lang w:val="ro-MD" w:eastAsia="ru-RU"/>
        </w:rPr>
        <w:t xml:space="preserve"> energiei electrice, prestat de operatorul pieței energiei electrice se determină conform formulei:</w:t>
      </w:r>
    </w:p>
    <w:p w14:paraId="52D315B8" w14:textId="77777777" w:rsidR="002B69FD" w:rsidRPr="00231B67" w:rsidRDefault="002B69FD" w:rsidP="002B69FD">
      <w:pPr>
        <w:pStyle w:val="a7"/>
        <w:ind w:left="567"/>
        <w:jc w:val="both"/>
        <w:rPr>
          <w:sz w:val="24"/>
          <w:szCs w:val="24"/>
          <w:lang w:val="ro-MD" w:eastAsia="ru-RU"/>
        </w:rPr>
      </w:pPr>
    </w:p>
    <w:p w14:paraId="7CC9AD0C" w14:textId="36EB8D36" w:rsidR="00D20D41" w:rsidRPr="00231B67" w:rsidRDefault="009361AC" w:rsidP="002B69FD">
      <w:pPr>
        <w:pStyle w:val="a7"/>
        <w:ind w:left="0" w:firstLine="567"/>
        <w:jc w:val="center"/>
        <w:rPr>
          <w:sz w:val="24"/>
          <w:szCs w:val="24"/>
          <w:lang w:val="ro-MD"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COP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MD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EOP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MD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ro-MD"/>
          </w:rPr>
          <m:t>×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  <w:lang w:val="ro-MD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MD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MD"/>
                  </w:rPr>
                  <m:t>TOP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MD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ro-MD"/>
              </w:rPr>
              <m:t>1000</m:t>
            </m:r>
          </m:den>
        </m:f>
      </m:oMath>
      <w:r w:rsidR="00D20D41" w:rsidRPr="00231B67">
        <w:rPr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="002B69FD">
        <w:rPr>
          <w:i/>
          <w:iCs/>
          <w:sz w:val="24"/>
          <w:szCs w:val="24"/>
          <w:vertAlign w:val="subscript"/>
          <w:lang w:val="ro-MD" w:eastAsia="ru-RU"/>
        </w:rPr>
        <w:t xml:space="preserve">   </w:t>
      </w:r>
      <w:r w:rsidR="007729A0">
        <w:rPr>
          <w:sz w:val="24"/>
          <w:szCs w:val="24"/>
          <w:lang w:val="ro-MD" w:eastAsia="ru-RU"/>
        </w:rPr>
        <w:t>(18</w:t>
      </w:r>
      <w:r w:rsidR="00D20D41" w:rsidRPr="00231B67">
        <w:rPr>
          <w:sz w:val="24"/>
          <w:szCs w:val="24"/>
          <w:lang w:val="ro-MD" w:eastAsia="ru-RU"/>
        </w:rPr>
        <w:t>)</w:t>
      </w:r>
    </w:p>
    <w:p w14:paraId="6000B226" w14:textId="372B1787" w:rsidR="00D20D41" w:rsidRDefault="00D20D41" w:rsidP="002B69FD">
      <w:pPr>
        <w:pStyle w:val="a7"/>
        <w:ind w:left="92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>unde:</w:t>
      </w:r>
    </w:p>
    <w:p w14:paraId="0B32555C" w14:textId="77777777" w:rsidR="00E024BE" w:rsidRPr="00231B67" w:rsidRDefault="00E024BE" w:rsidP="002B69FD">
      <w:pPr>
        <w:pStyle w:val="a7"/>
        <w:ind w:left="927"/>
        <w:jc w:val="both"/>
        <w:rPr>
          <w:sz w:val="24"/>
          <w:szCs w:val="24"/>
          <w:lang w:val="ro-MD" w:eastAsia="ru-RU"/>
        </w:rPr>
      </w:pPr>
    </w:p>
    <w:p w14:paraId="15BF4156" w14:textId="2FB4470A" w:rsidR="00D20D41" w:rsidRPr="00231B67" w:rsidRDefault="00D20D41" w:rsidP="002B69FD">
      <w:pPr>
        <w:pStyle w:val="a7"/>
        <w:ind w:left="0" w:firstLine="927"/>
        <w:jc w:val="both"/>
        <w:rPr>
          <w:sz w:val="24"/>
          <w:szCs w:val="24"/>
          <w:lang w:val="ro-MD" w:eastAsia="ru-RU"/>
        </w:rPr>
      </w:pPr>
      <w:proofErr w:type="spellStart"/>
      <w:r w:rsidRPr="00231B67">
        <w:rPr>
          <w:i/>
          <w:iCs/>
          <w:sz w:val="24"/>
          <w:szCs w:val="24"/>
          <w:lang w:val="ro-MD" w:eastAsia="ru-RU"/>
        </w:rPr>
        <w:t>EOP</w:t>
      </w:r>
      <w:r w:rsidRPr="00231B67">
        <w:rPr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sz w:val="24"/>
          <w:szCs w:val="24"/>
          <w:lang w:val="ro-MD" w:eastAsia="ru-RU"/>
        </w:rPr>
        <w:t>– cantitatea de energie electrică tranzacționată de către Furnizor în anul „n” pe piaț</w:t>
      </w:r>
      <w:r w:rsidR="00E60FCD">
        <w:rPr>
          <w:sz w:val="24"/>
          <w:szCs w:val="24"/>
          <w:lang w:val="ro-MD" w:eastAsia="ru-RU"/>
        </w:rPr>
        <w:t>a</w:t>
      </w:r>
      <w:r w:rsidRPr="00231B67">
        <w:rPr>
          <w:sz w:val="24"/>
          <w:szCs w:val="24"/>
          <w:lang w:val="ro-MD" w:eastAsia="ru-RU"/>
        </w:rPr>
        <w:t xml:space="preserve"> energiei electrice pentru ziua următoare, pe piața </w:t>
      </w:r>
      <w:proofErr w:type="spellStart"/>
      <w:r w:rsidR="002A520E" w:rsidRPr="00231B67">
        <w:rPr>
          <w:sz w:val="24"/>
          <w:szCs w:val="24"/>
          <w:lang w:val="ro-MD" w:eastAsia="ru-RU"/>
        </w:rPr>
        <w:t>intrazilnică</w:t>
      </w:r>
      <w:proofErr w:type="spellEnd"/>
      <w:r w:rsidRPr="00231B67">
        <w:rPr>
          <w:sz w:val="24"/>
          <w:szCs w:val="24"/>
          <w:lang w:val="ro-MD" w:eastAsia="ru-RU"/>
        </w:rPr>
        <w:t xml:space="preserve"> și pe piața organizată a contractelor</w:t>
      </w:r>
      <w:r w:rsidR="006A1860" w:rsidRPr="00231B67">
        <w:rPr>
          <w:sz w:val="24"/>
          <w:szCs w:val="24"/>
          <w:lang w:val="ro-MD" w:eastAsia="ru-RU"/>
        </w:rPr>
        <w:t xml:space="preserve"> bilaterale</w:t>
      </w:r>
      <w:r w:rsidRPr="00231B67">
        <w:rPr>
          <w:sz w:val="24"/>
          <w:szCs w:val="24"/>
          <w:lang w:val="ro-MD" w:eastAsia="ru-RU"/>
        </w:rPr>
        <w:t>, kWh.</w:t>
      </w:r>
    </w:p>
    <w:p w14:paraId="0698CA82" w14:textId="77777777" w:rsidR="00D20D41" w:rsidRPr="00E024BE" w:rsidRDefault="00D20D41" w:rsidP="00E024BE">
      <w:pPr>
        <w:pStyle w:val="a7"/>
        <w:ind w:left="567"/>
        <w:jc w:val="both"/>
        <w:rPr>
          <w:sz w:val="24"/>
          <w:szCs w:val="24"/>
          <w:lang w:val="ro-MD" w:eastAsia="ru-RU"/>
        </w:rPr>
      </w:pPr>
    </w:p>
    <w:p w14:paraId="0A15AA70" w14:textId="58107765" w:rsidR="00C438BD" w:rsidRPr="00E024BE" w:rsidRDefault="00C438BD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>Cheltuielile suportate de Furnizor pentru serviciul de transport al energiei electrice, prestat de operatorul sistemului de transport se determină conform formulei:</w:t>
      </w:r>
    </w:p>
    <w:p w14:paraId="7C382FC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E4632FD" w14:textId="2BE8BE9D" w:rsidR="00297962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(19)</m:t>
          </m:r>
        </m:oMath>
      </m:oMathPara>
    </w:p>
    <w:p w14:paraId="6F3EDB3A" w14:textId="2650DA8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69FD8293" w14:textId="77777777" w:rsidR="00297962" w:rsidRPr="00231B67" w:rsidRDefault="00297962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96D41E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a Furnizorului transportată de operatorul sistemului de transport în anul „n”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transport, kWh.</w:t>
      </w:r>
    </w:p>
    <w:p w14:paraId="4F86CC55" w14:textId="79B90104" w:rsidR="00C438BD" w:rsidRPr="00E024BE" w:rsidRDefault="00C438BD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>Cheltuielile suportate de Furnizor pentru serviciul de distribuţie a energiei electrice, prestat de către operatorul sistemului de distribuţie se determină conform formulei:</w:t>
      </w:r>
    </w:p>
    <w:p w14:paraId="0159AB4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E720197" w14:textId="0A151605" w:rsidR="00297962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nît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nmt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EDC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njt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(20)</m:t>
          </m:r>
        </m:oMath>
      </m:oMathPara>
    </w:p>
    <w:p w14:paraId="6840C42A" w14:textId="77777777" w:rsidR="00C438BD" w:rsidRPr="00E024BE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024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7B28096" w14:textId="16CC9F0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42FD6439" w14:textId="03A455FA" w:rsidR="00490B95" w:rsidRPr="00E024BE" w:rsidRDefault="00490B95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35FBC19A" w14:textId="65FA69CC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; </w:t>
      </w: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nmt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; </w:t>
      </w: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TD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njt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tarif</w:t>
      </w:r>
      <w:r w:rsidR="0066710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ele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prestarea de către operatorul sistemului de distribuţie a serviciului de distribuţie a energiei electrice în anul „n”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înaltă, medie şi joasă, aprobat</w:t>
      </w:r>
      <w:r w:rsidR="0066710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lei/kWh.</w:t>
      </w:r>
    </w:p>
    <w:p w14:paraId="163EF2E3" w14:textId="736A3BC1" w:rsidR="00C438BD" w:rsidRPr="00E024BE" w:rsidRDefault="00C438BD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Costurile şi cheltuielile totale ale Furnizorului necesare pentru </w:t>
      </w:r>
      <w:proofErr w:type="spellStart"/>
      <w:r w:rsidRPr="00E024BE">
        <w:rPr>
          <w:sz w:val="24"/>
          <w:szCs w:val="24"/>
          <w:lang w:val="ro-MD" w:eastAsia="ru-RU"/>
        </w:rPr>
        <w:t>desfăşurarea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 în anul de reglementare „n” (</w:t>
      </w:r>
      <w:proofErr w:type="spellStart"/>
      <w:r w:rsidRPr="00E024BE">
        <w:rPr>
          <w:sz w:val="24"/>
          <w:szCs w:val="24"/>
          <w:lang w:val="ro-MD" w:eastAsia="ru-RU"/>
        </w:rPr>
        <w:t>CSF</w:t>
      </w:r>
      <w:r w:rsidRPr="00E024BE">
        <w:rPr>
          <w:sz w:val="24"/>
          <w:szCs w:val="24"/>
          <w:vertAlign w:val="subscript"/>
          <w:lang w:val="ro-MD" w:eastAsia="ru-RU"/>
        </w:rPr>
        <w:t>n</w:t>
      </w:r>
      <w:proofErr w:type="spellEnd"/>
      <w:r w:rsidRPr="00E024BE">
        <w:rPr>
          <w:sz w:val="24"/>
          <w:szCs w:val="24"/>
          <w:lang w:val="ro-MD" w:eastAsia="ru-RU"/>
        </w:rPr>
        <w:t>) cuprind:</w:t>
      </w:r>
    </w:p>
    <w:p w14:paraId="07F89BF3" w14:textId="378F82B2" w:rsidR="00C438BD" w:rsidRPr="00E024BE" w:rsidRDefault="00E024BE" w:rsidP="00E024BE">
      <w:pPr>
        <w:pStyle w:val="a7"/>
        <w:numPr>
          <w:ilvl w:val="0"/>
          <w:numId w:val="13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C438BD" w:rsidRPr="00E024BE">
        <w:rPr>
          <w:sz w:val="24"/>
          <w:szCs w:val="24"/>
          <w:lang w:val="ro-MD" w:eastAsia="ru-RU"/>
        </w:rPr>
        <w:t>cheltuieli legate de încheierea şi de derularea contractelor de procurare</w:t>
      </w:r>
      <w:r w:rsidR="00C063F1" w:rsidRPr="00E024BE">
        <w:rPr>
          <w:sz w:val="24"/>
          <w:szCs w:val="24"/>
          <w:lang w:val="ro-MD" w:eastAsia="ru-RU"/>
        </w:rPr>
        <w:t xml:space="preserve"> a energiei electrice</w:t>
      </w:r>
      <w:r w:rsidR="00C438BD" w:rsidRPr="00E024BE">
        <w:rPr>
          <w:sz w:val="24"/>
          <w:szCs w:val="24"/>
          <w:lang w:val="ro-MD" w:eastAsia="ru-RU"/>
        </w:rPr>
        <w:t>, a contractelor de furnizare a energiei electrice tuturor consumatorilor</w:t>
      </w:r>
      <w:r w:rsidR="00585F01" w:rsidRPr="00E024BE">
        <w:rPr>
          <w:sz w:val="24"/>
          <w:szCs w:val="24"/>
          <w:lang w:val="ro-MD" w:eastAsia="ru-RU"/>
        </w:rPr>
        <w:t xml:space="preserve"> finali </w:t>
      </w:r>
      <w:r w:rsidR="00C063F1" w:rsidRPr="00E024BE">
        <w:rPr>
          <w:sz w:val="24"/>
          <w:szCs w:val="24"/>
          <w:lang w:val="ro-MD" w:eastAsia="ru-RU"/>
        </w:rPr>
        <w:t>deserviți</w:t>
      </w:r>
      <w:r w:rsidR="00585F01" w:rsidRPr="00E024BE">
        <w:rPr>
          <w:sz w:val="24"/>
          <w:szCs w:val="24"/>
          <w:lang w:val="ro-MD" w:eastAsia="ru-RU"/>
        </w:rPr>
        <w:t>, după caz</w:t>
      </w:r>
      <w:r w:rsidR="00C438BD" w:rsidRPr="00E024BE">
        <w:rPr>
          <w:sz w:val="24"/>
          <w:szCs w:val="24"/>
          <w:lang w:val="ro-MD" w:eastAsia="ru-RU"/>
        </w:rPr>
        <w:t xml:space="preserve">, a contractelor pentru prestarea serviciilor de transport şi de distribuţie a energiei electrice, a altor contracte aferente </w:t>
      </w:r>
      <w:proofErr w:type="spellStart"/>
      <w:r w:rsidR="00C438BD" w:rsidRPr="00E024BE">
        <w:rPr>
          <w:sz w:val="24"/>
          <w:szCs w:val="24"/>
          <w:lang w:val="ro-MD" w:eastAsia="ru-RU"/>
        </w:rPr>
        <w:t>activităţii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furnizare a energiei electrice;</w:t>
      </w:r>
    </w:p>
    <w:p w14:paraId="67837691" w14:textId="656BD907" w:rsidR="00C438BD" w:rsidRPr="00E024BE" w:rsidRDefault="00E024BE" w:rsidP="00E024BE">
      <w:pPr>
        <w:pStyle w:val="a7"/>
        <w:numPr>
          <w:ilvl w:val="0"/>
          <w:numId w:val="13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C438BD" w:rsidRPr="00E024BE">
        <w:rPr>
          <w:sz w:val="24"/>
          <w:szCs w:val="24"/>
          <w:lang w:val="ro-MD" w:eastAsia="ru-RU"/>
        </w:rPr>
        <w:t xml:space="preserve">cheltuieli legate de facturarea </w:t>
      </w:r>
      <w:proofErr w:type="spellStart"/>
      <w:r w:rsidR="00C438BD" w:rsidRPr="00E024BE">
        <w:rPr>
          <w:sz w:val="24"/>
          <w:szCs w:val="24"/>
          <w:lang w:val="ro-MD" w:eastAsia="ru-RU"/>
        </w:rPr>
        <w:t>şi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colectarea </w:t>
      </w:r>
      <w:proofErr w:type="spellStart"/>
      <w:r w:rsidR="00C438BD" w:rsidRPr="00E024BE">
        <w:rPr>
          <w:sz w:val="24"/>
          <w:szCs w:val="24"/>
          <w:lang w:val="ro-MD" w:eastAsia="ru-RU"/>
        </w:rPr>
        <w:t>plăţilor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pentru energia electrică furnizată consumatorilor</w:t>
      </w:r>
      <w:r w:rsidR="00585F01" w:rsidRPr="00E024BE">
        <w:rPr>
          <w:sz w:val="24"/>
          <w:szCs w:val="24"/>
          <w:lang w:val="ro-MD" w:eastAsia="ru-RU"/>
        </w:rPr>
        <w:t xml:space="preserve"> finali, după caz</w:t>
      </w:r>
      <w:r w:rsidR="00C438BD" w:rsidRPr="00E024BE">
        <w:rPr>
          <w:sz w:val="24"/>
          <w:szCs w:val="24"/>
          <w:lang w:val="ro-MD" w:eastAsia="ru-RU"/>
        </w:rPr>
        <w:t xml:space="preserve">, de facturarea </w:t>
      </w:r>
      <w:proofErr w:type="spellStart"/>
      <w:r w:rsidR="00C438BD" w:rsidRPr="00E024BE">
        <w:rPr>
          <w:sz w:val="24"/>
          <w:szCs w:val="24"/>
          <w:lang w:val="ro-MD" w:eastAsia="ru-RU"/>
        </w:rPr>
        <w:t>şi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achitarea </w:t>
      </w:r>
      <w:proofErr w:type="spellStart"/>
      <w:r w:rsidR="00C438BD" w:rsidRPr="00E024BE">
        <w:rPr>
          <w:sz w:val="24"/>
          <w:szCs w:val="24"/>
          <w:lang w:val="ro-MD" w:eastAsia="ru-RU"/>
        </w:rPr>
        <w:t>plăţilor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pentru energia electrică procurată, a </w:t>
      </w:r>
      <w:proofErr w:type="spellStart"/>
      <w:r w:rsidR="00C438BD" w:rsidRPr="00E024BE">
        <w:rPr>
          <w:sz w:val="24"/>
          <w:szCs w:val="24"/>
          <w:lang w:val="ro-MD" w:eastAsia="ru-RU"/>
        </w:rPr>
        <w:t>plăţilor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pentru prestarea serviciului de transport şi a serviciului de distribuţie a energiei electrice;</w:t>
      </w:r>
    </w:p>
    <w:p w14:paraId="396888D8" w14:textId="41461C87" w:rsidR="00C438BD" w:rsidRPr="00E024BE" w:rsidRDefault="00E024BE" w:rsidP="00E024BE">
      <w:pPr>
        <w:pStyle w:val="a7"/>
        <w:numPr>
          <w:ilvl w:val="0"/>
          <w:numId w:val="13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C438BD" w:rsidRPr="00E024BE">
        <w:rPr>
          <w:sz w:val="24"/>
          <w:szCs w:val="24"/>
          <w:lang w:val="ro-MD" w:eastAsia="ru-RU"/>
        </w:rPr>
        <w:t>cheltuieli aferente asigurării bazei de date privind gestiunea consumatorilor</w:t>
      </w:r>
      <w:r w:rsidR="00585F01" w:rsidRPr="00E024BE">
        <w:rPr>
          <w:sz w:val="24"/>
          <w:szCs w:val="24"/>
          <w:lang w:val="ro-MD" w:eastAsia="ru-RU"/>
        </w:rPr>
        <w:t xml:space="preserve"> finali</w:t>
      </w:r>
      <w:r w:rsidR="00C438BD" w:rsidRPr="00E024BE">
        <w:rPr>
          <w:sz w:val="24"/>
          <w:szCs w:val="24"/>
          <w:lang w:val="ro-MD" w:eastAsia="ru-RU"/>
        </w:rPr>
        <w:t xml:space="preserve">, aferente organizării </w:t>
      </w:r>
      <w:proofErr w:type="spellStart"/>
      <w:r w:rsidR="00C438BD" w:rsidRPr="00E024BE">
        <w:rPr>
          <w:sz w:val="24"/>
          <w:szCs w:val="24"/>
          <w:lang w:val="ro-MD" w:eastAsia="ru-RU"/>
        </w:rPr>
        <w:t>şi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E024BE">
        <w:rPr>
          <w:sz w:val="24"/>
          <w:szCs w:val="24"/>
          <w:lang w:val="ro-MD" w:eastAsia="ru-RU"/>
        </w:rPr>
        <w:t>desfăşurării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</w:t>
      </w:r>
      <w:r w:rsidR="002A520E" w:rsidRPr="00E024BE">
        <w:rPr>
          <w:sz w:val="24"/>
          <w:szCs w:val="24"/>
          <w:lang w:val="ro-MD" w:eastAsia="ru-RU"/>
        </w:rPr>
        <w:t xml:space="preserve">interacțiunii </w:t>
      </w:r>
      <w:r w:rsidR="00C438BD" w:rsidRPr="00E024BE">
        <w:rPr>
          <w:sz w:val="24"/>
          <w:szCs w:val="24"/>
          <w:lang w:val="ro-MD" w:eastAsia="ru-RU"/>
        </w:rPr>
        <w:t>cu consumatorii</w:t>
      </w:r>
      <w:r w:rsidR="00585F01" w:rsidRPr="00E024BE">
        <w:rPr>
          <w:sz w:val="24"/>
          <w:szCs w:val="24"/>
          <w:lang w:val="ro-MD" w:eastAsia="ru-RU"/>
        </w:rPr>
        <w:t xml:space="preserve"> finali</w:t>
      </w:r>
      <w:r w:rsidR="00C438BD" w:rsidRPr="00E024BE">
        <w:rPr>
          <w:sz w:val="24"/>
          <w:szCs w:val="24"/>
          <w:lang w:val="ro-MD" w:eastAsia="ru-RU"/>
        </w:rPr>
        <w:t xml:space="preserve"> (centre comerciale, servicii de informare а consumatorilor</w:t>
      </w:r>
      <w:r w:rsidR="00585F01" w:rsidRPr="00E024BE">
        <w:rPr>
          <w:sz w:val="24"/>
          <w:szCs w:val="24"/>
          <w:lang w:val="ro-MD" w:eastAsia="ru-RU"/>
        </w:rPr>
        <w:t xml:space="preserve"> finali</w:t>
      </w:r>
      <w:r w:rsidR="00C438BD" w:rsidRPr="00E024BE">
        <w:rPr>
          <w:sz w:val="24"/>
          <w:szCs w:val="24"/>
          <w:lang w:val="ro-MD" w:eastAsia="ru-RU"/>
        </w:rPr>
        <w:t xml:space="preserve">, a operatorului sistemului de transport, a operatorilor sistemelor de </w:t>
      </w:r>
      <w:proofErr w:type="spellStart"/>
      <w:r w:rsidR="00C438BD" w:rsidRPr="00E024BE">
        <w:rPr>
          <w:sz w:val="24"/>
          <w:szCs w:val="24"/>
          <w:lang w:val="ro-MD" w:eastAsia="ru-RU"/>
        </w:rPr>
        <w:t>distribuţie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E024BE">
        <w:rPr>
          <w:sz w:val="24"/>
          <w:szCs w:val="24"/>
          <w:lang w:val="ro-MD" w:eastAsia="ru-RU"/>
        </w:rPr>
        <w:t>şi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a altor </w:t>
      </w:r>
      <w:proofErr w:type="spellStart"/>
      <w:r w:rsidR="00C438BD" w:rsidRPr="00E024BE">
        <w:rPr>
          <w:sz w:val="24"/>
          <w:szCs w:val="24"/>
          <w:lang w:val="ro-MD" w:eastAsia="ru-RU"/>
        </w:rPr>
        <w:t>instituţii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abilitate);</w:t>
      </w:r>
    </w:p>
    <w:p w14:paraId="7A569D15" w14:textId="39C138F1" w:rsidR="00C438BD" w:rsidRPr="00E024BE" w:rsidRDefault="00E024BE" w:rsidP="00E024BE">
      <w:pPr>
        <w:pStyle w:val="a7"/>
        <w:numPr>
          <w:ilvl w:val="0"/>
          <w:numId w:val="13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C438BD" w:rsidRPr="00E024BE">
        <w:rPr>
          <w:sz w:val="24"/>
          <w:szCs w:val="24"/>
          <w:lang w:val="ro-MD" w:eastAsia="ru-RU"/>
        </w:rPr>
        <w:t xml:space="preserve">amortizarea mijloacelor fixe şi a imobilizărilor necorporale aferente </w:t>
      </w:r>
      <w:proofErr w:type="spellStart"/>
      <w:r w:rsidR="00C438BD" w:rsidRPr="00E024BE">
        <w:rPr>
          <w:sz w:val="24"/>
          <w:szCs w:val="24"/>
          <w:lang w:val="ro-MD" w:eastAsia="ru-RU"/>
        </w:rPr>
        <w:t>activităţii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furnizare a energiei electrice, cheltuielile de </w:t>
      </w:r>
      <w:proofErr w:type="spellStart"/>
      <w:r w:rsidR="00C438BD" w:rsidRPr="00E024BE">
        <w:rPr>
          <w:sz w:val="24"/>
          <w:szCs w:val="24"/>
          <w:lang w:val="ro-MD" w:eastAsia="ru-RU"/>
        </w:rPr>
        <w:t>întreţinere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="00C438BD" w:rsidRPr="00E024BE">
        <w:rPr>
          <w:sz w:val="24"/>
          <w:szCs w:val="24"/>
          <w:lang w:val="ro-MD" w:eastAsia="ru-RU"/>
        </w:rPr>
        <w:t>şi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exploatare a acestora;</w:t>
      </w:r>
    </w:p>
    <w:p w14:paraId="67D52DEE" w14:textId="44B23D7B" w:rsidR="00C438BD" w:rsidRPr="00E024BE" w:rsidRDefault="00E024BE" w:rsidP="00E024BE">
      <w:pPr>
        <w:pStyle w:val="a7"/>
        <w:numPr>
          <w:ilvl w:val="0"/>
          <w:numId w:val="13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C438BD" w:rsidRPr="00E024BE">
        <w:rPr>
          <w:sz w:val="24"/>
          <w:szCs w:val="24"/>
          <w:lang w:val="ro-MD" w:eastAsia="ru-RU"/>
        </w:rPr>
        <w:t>alte cheltuieli de distribuire legate nemijlocit de activitatea de furnizare a energiei electrice;</w:t>
      </w:r>
    </w:p>
    <w:p w14:paraId="784FF4AD" w14:textId="04ED7FEA" w:rsidR="00C438BD" w:rsidRPr="00E024BE" w:rsidRDefault="00E024BE" w:rsidP="00E024BE">
      <w:pPr>
        <w:pStyle w:val="a7"/>
        <w:numPr>
          <w:ilvl w:val="0"/>
          <w:numId w:val="13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C438BD" w:rsidRPr="00E024BE">
        <w:rPr>
          <w:sz w:val="24"/>
          <w:szCs w:val="24"/>
          <w:lang w:val="ro-MD" w:eastAsia="ru-RU"/>
        </w:rPr>
        <w:t xml:space="preserve">cheltuieli administrative ale Furnizorului aferente </w:t>
      </w:r>
      <w:proofErr w:type="spellStart"/>
      <w:r w:rsidR="00C438BD" w:rsidRPr="00E024BE">
        <w:rPr>
          <w:sz w:val="24"/>
          <w:szCs w:val="24"/>
          <w:lang w:val="ro-MD" w:eastAsia="ru-RU"/>
        </w:rPr>
        <w:t>activităţii</w:t>
      </w:r>
      <w:proofErr w:type="spellEnd"/>
      <w:r w:rsidR="00C438BD" w:rsidRPr="00E024BE">
        <w:rPr>
          <w:sz w:val="24"/>
          <w:szCs w:val="24"/>
          <w:lang w:val="ro-MD" w:eastAsia="ru-RU"/>
        </w:rPr>
        <w:t xml:space="preserve"> de furnizare a energiei electrice.</w:t>
      </w:r>
    </w:p>
    <w:p w14:paraId="2E6A7C4C" w14:textId="56D21152" w:rsidR="00C438BD" w:rsidRPr="00E024BE" w:rsidRDefault="00C438BD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lastRenderedPageBreak/>
        <w:t xml:space="preserve">Toate costurile şi cheltuielile legate nemijlocit de activitatea de furnizare la care se face referire în punctul </w:t>
      </w:r>
      <w:r w:rsidR="00780EA8" w:rsidRPr="00E024BE">
        <w:rPr>
          <w:sz w:val="24"/>
          <w:szCs w:val="24"/>
          <w:lang w:val="ro-MD" w:eastAsia="ru-RU"/>
        </w:rPr>
        <w:t>1</w:t>
      </w:r>
      <w:r w:rsidR="00780EA8" w:rsidRPr="00231B67">
        <w:rPr>
          <w:sz w:val="24"/>
          <w:szCs w:val="24"/>
          <w:lang w:val="ro-MD" w:eastAsia="ru-RU"/>
        </w:rPr>
        <w:t>4</w:t>
      </w:r>
      <w:r w:rsidR="00780EA8" w:rsidRPr="00E024BE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 xml:space="preserve">sunt compuse din costuri cu personalul (CRF), din costuri materiale (CMF), din costul serviciilor prestate de </w:t>
      </w:r>
      <w:proofErr w:type="spellStart"/>
      <w:r w:rsidRPr="00E024BE">
        <w:rPr>
          <w:sz w:val="24"/>
          <w:szCs w:val="24"/>
          <w:lang w:val="ro-MD" w:eastAsia="ru-RU"/>
        </w:rPr>
        <w:t>terţi</w:t>
      </w:r>
      <w:proofErr w:type="spellEnd"/>
      <w:r w:rsidRPr="00E024BE">
        <w:rPr>
          <w:sz w:val="24"/>
          <w:szCs w:val="24"/>
          <w:lang w:val="ro-MD" w:eastAsia="ru-RU"/>
        </w:rPr>
        <w:t xml:space="preserve"> (CSP), din amortizarea mijloacelor fixe şi imobilizărilor necorporale (</w:t>
      </w:r>
      <w:r w:rsidR="008C7F95" w:rsidRPr="00E024BE">
        <w:rPr>
          <w:sz w:val="24"/>
          <w:szCs w:val="24"/>
          <w:lang w:val="ro-MD" w:eastAsia="ru-RU"/>
        </w:rPr>
        <w:t>AMI</w:t>
      </w:r>
      <w:r w:rsidRPr="00E024BE">
        <w:rPr>
          <w:sz w:val="24"/>
          <w:szCs w:val="24"/>
          <w:lang w:val="ro-MD" w:eastAsia="ru-RU"/>
        </w:rPr>
        <w:t>)</w:t>
      </w:r>
      <w:r w:rsidR="001B7618">
        <w:rPr>
          <w:sz w:val="24"/>
          <w:szCs w:val="24"/>
          <w:lang w:val="ro-MD" w:eastAsia="ru-RU"/>
        </w:rPr>
        <w:t>,</w:t>
      </w:r>
      <w:r w:rsidRPr="00E024BE">
        <w:rPr>
          <w:sz w:val="24"/>
          <w:szCs w:val="24"/>
          <w:lang w:val="ro-MD" w:eastAsia="ru-RU"/>
        </w:rPr>
        <w:t xml:space="preserve"> din </w:t>
      </w:r>
      <w:r w:rsidR="008C7F95" w:rsidRPr="00E024BE">
        <w:rPr>
          <w:sz w:val="24"/>
          <w:szCs w:val="24"/>
          <w:lang w:val="ro-MD" w:eastAsia="ru-RU"/>
        </w:rPr>
        <w:t xml:space="preserve">impozitele şi taxele, care conform </w:t>
      </w:r>
      <w:proofErr w:type="spellStart"/>
      <w:r w:rsidR="008C7F95" w:rsidRPr="00E024BE">
        <w:rPr>
          <w:sz w:val="24"/>
          <w:szCs w:val="24"/>
          <w:lang w:val="ro-MD" w:eastAsia="ru-RU"/>
        </w:rPr>
        <w:t>legislaţiei</w:t>
      </w:r>
      <w:proofErr w:type="spellEnd"/>
      <w:r w:rsidR="008C7F95" w:rsidRPr="00E024BE">
        <w:rPr>
          <w:sz w:val="24"/>
          <w:szCs w:val="24"/>
          <w:lang w:val="ro-MD" w:eastAsia="ru-RU"/>
        </w:rPr>
        <w:t xml:space="preserve"> se atribuie la cheltuieli</w:t>
      </w:r>
      <w:r w:rsidR="008C7F95" w:rsidRPr="00E024BE" w:rsidDel="008C7F95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>(</w:t>
      </w:r>
      <w:r w:rsidR="008C7F95" w:rsidRPr="00E024BE">
        <w:rPr>
          <w:sz w:val="24"/>
          <w:szCs w:val="24"/>
          <w:lang w:val="ro-MD" w:eastAsia="ru-RU"/>
        </w:rPr>
        <w:t>IT</w:t>
      </w:r>
      <w:r w:rsidRPr="00E024BE">
        <w:rPr>
          <w:sz w:val="24"/>
          <w:szCs w:val="24"/>
          <w:lang w:val="ro-MD" w:eastAsia="ru-RU"/>
        </w:rPr>
        <w:t>)</w:t>
      </w:r>
      <w:r w:rsidR="001B7618">
        <w:rPr>
          <w:sz w:val="24"/>
          <w:szCs w:val="24"/>
          <w:lang w:val="ro-MD" w:eastAsia="ru-RU"/>
        </w:rPr>
        <w:t>, precum și din costurile aferente participării în cadrul grupului de echilibrare (CGE). Costurile aferente participării în cadrul grupului de echilibrare sunt recunoscute și acceptate</w:t>
      </w:r>
      <w:r w:rsidR="00AF5329">
        <w:rPr>
          <w:sz w:val="24"/>
          <w:szCs w:val="24"/>
          <w:lang w:val="ro-MD" w:eastAsia="ru-RU"/>
        </w:rPr>
        <w:t xml:space="preserve"> pentru recuperare,</w:t>
      </w:r>
      <w:r w:rsidR="001B7618">
        <w:rPr>
          <w:sz w:val="24"/>
          <w:szCs w:val="24"/>
          <w:lang w:val="ro-MD" w:eastAsia="ru-RU"/>
        </w:rPr>
        <w:t xml:space="preserve"> doar cu condiția că acestea sunt mai mici decât efectul</w:t>
      </w:r>
      <w:r w:rsidR="00AF5329">
        <w:rPr>
          <w:sz w:val="24"/>
          <w:szCs w:val="24"/>
          <w:lang w:val="ro-MD" w:eastAsia="ru-RU"/>
        </w:rPr>
        <w:t xml:space="preserve"> financiar al</w:t>
      </w:r>
      <w:r w:rsidR="001B7618">
        <w:rPr>
          <w:sz w:val="24"/>
          <w:szCs w:val="24"/>
          <w:lang w:val="ro-MD" w:eastAsia="ru-RU"/>
        </w:rPr>
        <w:t xml:space="preserve"> participării în cadrul grupului de echilibrare,</w:t>
      </w:r>
      <w:r w:rsidR="00AF5329">
        <w:rPr>
          <w:sz w:val="24"/>
          <w:szCs w:val="24"/>
          <w:lang w:val="ro-MD" w:eastAsia="ru-RU"/>
        </w:rPr>
        <w:t xml:space="preserve"> </w:t>
      </w:r>
      <w:r w:rsidR="001B7618">
        <w:rPr>
          <w:sz w:val="24"/>
          <w:szCs w:val="24"/>
          <w:lang w:val="ro-MD" w:eastAsia="ru-RU"/>
        </w:rPr>
        <w:t>fapt confirmat printr-un raport elab</w:t>
      </w:r>
      <w:r w:rsidR="00AF5329">
        <w:rPr>
          <w:sz w:val="24"/>
          <w:szCs w:val="24"/>
          <w:lang w:val="ro-MD" w:eastAsia="ru-RU"/>
        </w:rPr>
        <w:t>orat</w:t>
      </w:r>
      <w:r w:rsidR="001B7618">
        <w:rPr>
          <w:sz w:val="24"/>
          <w:szCs w:val="24"/>
          <w:lang w:val="ro-MD" w:eastAsia="ru-RU"/>
        </w:rPr>
        <w:t xml:space="preserve"> de furnizor și prezentat Agenției. </w:t>
      </w:r>
      <w:r w:rsidRPr="00E024BE">
        <w:rPr>
          <w:sz w:val="24"/>
          <w:szCs w:val="24"/>
          <w:lang w:val="ro-MD" w:eastAsia="ru-RU"/>
        </w:rPr>
        <w:t xml:space="preserve">Astfel, costurile şi cheltuielile totale aferente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 în anul „n” </w:t>
      </w:r>
      <w:r w:rsidR="00585F01" w:rsidRPr="00E024BE">
        <w:rPr>
          <w:sz w:val="24"/>
          <w:szCs w:val="24"/>
          <w:lang w:val="ro-MD" w:eastAsia="ru-RU"/>
        </w:rPr>
        <w:t xml:space="preserve">se </w:t>
      </w:r>
      <w:r w:rsidRPr="00E024BE">
        <w:rPr>
          <w:sz w:val="24"/>
          <w:szCs w:val="24"/>
          <w:lang w:val="ro-MD" w:eastAsia="ru-RU"/>
        </w:rPr>
        <w:t>determin</w:t>
      </w:r>
      <w:r w:rsidR="00585F01" w:rsidRPr="00E024BE">
        <w:rPr>
          <w:sz w:val="24"/>
          <w:szCs w:val="24"/>
          <w:lang w:val="ro-MD" w:eastAsia="ru-RU"/>
        </w:rPr>
        <w:t xml:space="preserve">ă conform </w:t>
      </w:r>
      <w:r w:rsidRPr="00E024BE">
        <w:rPr>
          <w:sz w:val="24"/>
          <w:szCs w:val="24"/>
          <w:lang w:val="ro-MD" w:eastAsia="ru-RU"/>
        </w:rPr>
        <w:t>formul</w:t>
      </w:r>
      <w:r w:rsidR="00585F01" w:rsidRPr="00E024BE">
        <w:rPr>
          <w:sz w:val="24"/>
          <w:szCs w:val="24"/>
          <w:lang w:val="ro-MD" w:eastAsia="ru-RU"/>
        </w:rPr>
        <w:t>ei</w:t>
      </w:r>
      <w:r w:rsidRPr="00E024BE">
        <w:rPr>
          <w:sz w:val="24"/>
          <w:szCs w:val="24"/>
          <w:lang w:val="ro-MD" w:eastAsia="ru-RU"/>
        </w:rPr>
        <w:t>:</w:t>
      </w:r>
    </w:p>
    <w:p w14:paraId="462F355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1664B9E3" w14:textId="7EAB7F2F" w:rsidR="005A67F6" w:rsidRPr="00231B67" w:rsidRDefault="009361AC" w:rsidP="00E024B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CRF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CMF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AMI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IT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CGE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(21)</m:t>
          </m:r>
        </m:oMath>
      </m:oMathPara>
    </w:p>
    <w:p w14:paraId="432411FF" w14:textId="143B27D6" w:rsidR="008C4C31" w:rsidRPr="00231B67" w:rsidRDefault="008C4C31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231B67">
        <w:rPr>
          <w:sz w:val="24"/>
          <w:szCs w:val="24"/>
          <w:lang w:val="ro-MD" w:eastAsia="ru-RU"/>
        </w:rPr>
        <w:t xml:space="preserve">În cazul </w:t>
      </w:r>
      <w:r w:rsidR="001F62AE" w:rsidRPr="00231B67">
        <w:rPr>
          <w:sz w:val="24"/>
          <w:szCs w:val="24"/>
          <w:lang w:val="ro-MD" w:eastAsia="ru-RU"/>
        </w:rPr>
        <w:t xml:space="preserve">furnizorului serviciului universal sau furnizorului de ultimă </w:t>
      </w:r>
      <w:proofErr w:type="spellStart"/>
      <w:r w:rsidR="001F62AE" w:rsidRPr="00231B67">
        <w:rPr>
          <w:sz w:val="24"/>
          <w:szCs w:val="24"/>
          <w:lang w:val="ro-MD" w:eastAsia="ru-RU"/>
        </w:rPr>
        <w:t>opţiune</w:t>
      </w:r>
      <w:proofErr w:type="spellEnd"/>
      <w:r w:rsidR="001F62AE" w:rsidRPr="00231B67">
        <w:rPr>
          <w:sz w:val="24"/>
          <w:szCs w:val="24"/>
          <w:lang w:val="ro-MD" w:eastAsia="ru-RU"/>
        </w:rPr>
        <w:t xml:space="preserve"> desemnat ca urmare a </w:t>
      </w:r>
      <w:proofErr w:type="spellStart"/>
      <w:r w:rsidR="001F62AE" w:rsidRPr="00231B67">
        <w:rPr>
          <w:sz w:val="24"/>
          <w:szCs w:val="24"/>
          <w:lang w:val="ro-MD" w:eastAsia="ru-RU"/>
        </w:rPr>
        <w:t>desfăşurării</w:t>
      </w:r>
      <w:proofErr w:type="spellEnd"/>
      <w:r w:rsidR="001F62AE" w:rsidRPr="00231B67">
        <w:rPr>
          <w:sz w:val="24"/>
          <w:szCs w:val="24"/>
          <w:lang w:val="ro-MD" w:eastAsia="ru-RU"/>
        </w:rPr>
        <w:t xml:space="preserve"> procedurii competitive în conformitate cu Regulamentul privind impunerea obligaţiilor de serviciu public aprobat prin Hotărârea ANRE nr.</w:t>
      </w:r>
      <w:r w:rsidR="00BD1E3B" w:rsidRPr="00231B67">
        <w:rPr>
          <w:sz w:val="24"/>
          <w:szCs w:val="24"/>
          <w:lang w:val="ro-MD" w:eastAsia="ru-RU"/>
        </w:rPr>
        <w:t xml:space="preserve"> </w:t>
      </w:r>
      <w:r w:rsidR="001F62AE" w:rsidRPr="00231B67">
        <w:rPr>
          <w:sz w:val="24"/>
          <w:szCs w:val="24"/>
          <w:lang w:val="ro-MD" w:eastAsia="ru-RU"/>
        </w:rPr>
        <w:t xml:space="preserve">518/2024, la determinarea </w:t>
      </w:r>
      <w:proofErr w:type="spellStart"/>
      <w:r w:rsidR="001F62AE" w:rsidRPr="00231B67">
        <w:rPr>
          <w:sz w:val="24"/>
          <w:szCs w:val="24"/>
          <w:lang w:val="ro-MD" w:eastAsia="ru-RU"/>
        </w:rPr>
        <w:t>preţurilor</w:t>
      </w:r>
      <w:proofErr w:type="spellEnd"/>
      <w:r w:rsidR="001F62AE" w:rsidRPr="00231B67">
        <w:rPr>
          <w:sz w:val="24"/>
          <w:szCs w:val="24"/>
          <w:lang w:val="ro-MD" w:eastAsia="ru-RU"/>
        </w:rPr>
        <w:t xml:space="preserve"> reglementate,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MD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MD" w:eastAsia="ru-RU"/>
              </w:rPr>
              <m:t>CSF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MD" w:eastAsia="ru-RU"/>
              </w:rPr>
              <m:t>n</m:t>
            </m:r>
          </m:sub>
        </m:sSub>
      </m:oMath>
      <w:r w:rsidR="001F62AE" w:rsidRPr="00231B67">
        <w:rPr>
          <w:sz w:val="24"/>
          <w:szCs w:val="24"/>
          <w:lang w:val="ro-MD" w:eastAsia="ru-RU"/>
        </w:rPr>
        <w:t xml:space="preserve"> reprezintă marja </w:t>
      </w:r>
      <w:r w:rsidR="00667104">
        <w:rPr>
          <w:sz w:val="24"/>
          <w:szCs w:val="24"/>
          <w:lang w:val="ro-MD" w:eastAsia="ru-RU"/>
        </w:rPr>
        <w:t>F</w:t>
      </w:r>
      <w:r w:rsidR="001F62AE" w:rsidRPr="00231B67">
        <w:rPr>
          <w:sz w:val="24"/>
          <w:szCs w:val="24"/>
          <w:lang w:val="ro-MD" w:eastAsia="ru-RU"/>
        </w:rPr>
        <w:t>urnizorului, care se va actualiza anual conform formulei:</w:t>
      </w:r>
    </w:p>
    <w:p w14:paraId="362228D3" w14:textId="42A51371" w:rsidR="001F62AE" w:rsidRPr="00E024BE" w:rsidRDefault="009361AC" w:rsidP="00E024BE">
      <w:pPr>
        <w:pStyle w:val="a7"/>
        <w:ind w:left="927"/>
        <w:jc w:val="center"/>
        <w:rPr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CSF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 w:eastAsia="ru-RU"/>
                        </w:rPr>
                        <m:t>IPCM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4"/>
              <w:szCs w:val="24"/>
              <w:lang w:val="ro-MD" w:eastAsia="ru-RU"/>
            </w:rPr>
            <m:t xml:space="preserve"> (22)</m:t>
          </m:r>
        </m:oMath>
      </m:oMathPara>
    </w:p>
    <w:p w14:paraId="74454477" w14:textId="027F99CD" w:rsidR="00C438BD" w:rsidRPr="00E024BE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024B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0608C82" w14:textId="0C638B00" w:rsidR="00C438BD" w:rsidRPr="00E024BE" w:rsidRDefault="00C438BD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În costurile Furnizorului cu personalul (CRF) se includ atât suma </w:t>
      </w:r>
      <w:proofErr w:type="spellStart"/>
      <w:r w:rsidRPr="00E024BE">
        <w:rPr>
          <w:sz w:val="24"/>
          <w:szCs w:val="24"/>
          <w:lang w:val="ro-MD" w:eastAsia="ru-RU"/>
        </w:rPr>
        <w:t>retribuţiilor</w:t>
      </w:r>
      <w:proofErr w:type="spellEnd"/>
      <w:r w:rsidRPr="00E024BE">
        <w:rPr>
          <w:sz w:val="24"/>
          <w:szCs w:val="24"/>
          <w:lang w:val="ro-MD" w:eastAsia="ru-RU"/>
        </w:rPr>
        <w:t xml:space="preserve"> pentru munca efectiv prestată, precum </w:t>
      </w:r>
      <w:proofErr w:type="spellStart"/>
      <w:r w:rsidRPr="00E024BE">
        <w:rPr>
          <w:sz w:val="24"/>
          <w:szCs w:val="24"/>
          <w:lang w:val="ro-MD" w:eastAsia="ru-RU"/>
        </w:rPr>
        <w:t>şi</w:t>
      </w:r>
      <w:proofErr w:type="spellEnd"/>
      <w:r w:rsidRPr="00E024BE">
        <w:rPr>
          <w:sz w:val="24"/>
          <w:szCs w:val="24"/>
          <w:lang w:val="ro-MD" w:eastAsia="ru-RU"/>
        </w:rPr>
        <w:t xml:space="preserve"> sumele </w:t>
      </w:r>
      <w:proofErr w:type="spellStart"/>
      <w:r w:rsidRPr="00E024BE">
        <w:rPr>
          <w:sz w:val="24"/>
          <w:szCs w:val="24"/>
          <w:lang w:val="ro-MD" w:eastAsia="ru-RU"/>
        </w:rPr>
        <w:t>contribuţiilor</w:t>
      </w:r>
      <w:proofErr w:type="spellEnd"/>
      <w:r w:rsidRPr="00E024BE">
        <w:rPr>
          <w:sz w:val="24"/>
          <w:szCs w:val="24"/>
          <w:lang w:val="ro-MD" w:eastAsia="ru-RU"/>
        </w:rPr>
        <w:t xml:space="preserve"> de asigurări sociale de stat obligatorii. Aceste costuri se determină de către Furnizor pentru an</w:t>
      </w:r>
      <w:r w:rsidR="002547FC">
        <w:rPr>
          <w:sz w:val="24"/>
          <w:szCs w:val="24"/>
          <w:lang w:val="ro-MD" w:eastAsia="ru-RU"/>
        </w:rPr>
        <w:t>ul de bază</w:t>
      </w:r>
      <w:r w:rsidRPr="00E024BE">
        <w:rPr>
          <w:sz w:val="24"/>
          <w:szCs w:val="24"/>
          <w:lang w:val="ro-MD" w:eastAsia="ru-RU"/>
        </w:rPr>
        <w:t xml:space="preserve"> </w:t>
      </w:r>
      <w:r w:rsidR="00505157" w:rsidRPr="00E024BE">
        <w:rPr>
          <w:sz w:val="24"/>
          <w:szCs w:val="24"/>
          <w:lang w:val="ro-MD" w:eastAsia="ru-RU"/>
        </w:rPr>
        <w:t>al perioadei de reglementare</w:t>
      </w:r>
      <w:r w:rsidR="004F72BF" w:rsidRPr="00231B67">
        <w:rPr>
          <w:sz w:val="24"/>
          <w:szCs w:val="24"/>
          <w:lang w:val="ro-MD" w:eastAsia="ru-RU"/>
        </w:rPr>
        <w:t xml:space="preserve"> –</w:t>
      </w:r>
      <w:r w:rsidRPr="00E024BE">
        <w:rPr>
          <w:sz w:val="24"/>
          <w:szCs w:val="24"/>
          <w:lang w:val="ro-MD" w:eastAsia="ru-RU"/>
        </w:rPr>
        <w:t xml:space="preserve"> </w:t>
      </w:r>
      <w:r w:rsidR="002547FC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>(</w:t>
      </w:r>
      <w:r w:rsidRPr="00E024BE">
        <w:rPr>
          <w:i/>
          <w:iCs/>
          <w:sz w:val="24"/>
          <w:szCs w:val="24"/>
          <w:lang w:val="ro-MD" w:eastAsia="ru-RU"/>
        </w:rPr>
        <w:t>CRF</w:t>
      </w:r>
      <w:r w:rsidRPr="00E024BE">
        <w:rPr>
          <w:i/>
          <w:iCs/>
          <w:sz w:val="24"/>
          <w:szCs w:val="24"/>
          <w:vertAlign w:val="subscript"/>
          <w:lang w:val="ro-MD" w:eastAsia="ru-RU"/>
        </w:rPr>
        <w:t>0</w:t>
      </w:r>
      <w:r w:rsidRPr="00E024BE">
        <w:rPr>
          <w:sz w:val="24"/>
          <w:szCs w:val="24"/>
          <w:lang w:val="ro-MD" w:eastAsia="ru-RU"/>
        </w:rPr>
        <w:t xml:space="preserve">), </w:t>
      </w:r>
      <w:r w:rsidR="007944B6" w:rsidRPr="00E024BE">
        <w:rPr>
          <w:sz w:val="24"/>
          <w:szCs w:val="24"/>
          <w:lang w:val="ro-MD" w:eastAsia="ru-RU"/>
        </w:rPr>
        <w:t>luând în considerare</w:t>
      </w:r>
      <w:r w:rsidRPr="00E024BE">
        <w:rPr>
          <w:sz w:val="24"/>
          <w:szCs w:val="24"/>
          <w:lang w:val="ro-MD" w:eastAsia="ru-RU"/>
        </w:rPr>
        <w:t xml:space="preserve">: numărul de </w:t>
      </w:r>
      <w:proofErr w:type="spellStart"/>
      <w:r w:rsidRPr="00E024BE">
        <w:rPr>
          <w:sz w:val="24"/>
          <w:szCs w:val="24"/>
          <w:lang w:val="ro-MD" w:eastAsia="ru-RU"/>
        </w:rPr>
        <w:t>angajaţi</w:t>
      </w:r>
      <w:proofErr w:type="spellEnd"/>
      <w:r w:rsidRPr="00E024BE">
        <w:rPr>
          <w:sz w:val="24"/>
          <w:szCs w:val="24"/>
          <w:lang w:val="ro-MD" w:eastAsia="ru-RU"/>
        </w:rPr>
        <w:t xml:space="preserve"> necesar pentru </w:t>
      </w:r>
      <w:proofErr w:type="spellStart"/>
      <w:r w:rsidRPr="00E024BE">
        <w:rPr>
          <w:sz w:val="24"/>
          <w:szCs w:val="24"/>
          <w:lang w:val="ro-MD" w:eastAsia="ru-RU"/>
        </w:rPr>
        <w:t>desfăşurarea</w:t>
      </w:r>
      <w:proofErr w:type="spellEnd"/>
      <w:r w:rsidRPr="00E024BE">
        <w:rPr>
          <w:sz w:val="24"/>
          <w:szCs w:val="24"/>
          <w:lang w:val="ro-MD" w:eastAsia="ru-RU"/>
        </w:rPr>
        <w:t xml:space="preserve"> normală a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electrice; categoria de calificare a acestora; salariul</w:t>
      </w:r>
      <w:r w:rsidR="004F72BF" w:rsidRPr="00231B67">
        <w:rPr>
          <w:sz w:val="24"/>
          <w:szCs w:val="24"/>
          <w:lang w:val="ro-MD" w:eastAsia="ru-RU"/>
        </w:rPr>
        <w:t xml:space="preserve"> minim</w:t>
      </w:r>
      <w:r w:rsidR="0023439D" w:rsidRPr="00231B67">
        <w:rPr>
          <w:sz w:val="24"/>
          <w:szCs w:val="24"/>
          <w:lang w:val="ro-MD" w:eastAsia="ru-RU"/>
        </w:rPr>
        <w:t xml:space="preserve"> pe ț</w:t>
      </w:r>
      <w:r w:rsidR="00BD1E3B" w:rsidRPr="00231B67">
        <w:rPr>
          <w:sz w:val="24"/>
          <w:szCs w:val="24"/>
          <w:lang w:val="ro-MD" w:eastAsia="ru-RU"/>
        </w:rPr>
        <w:t>ară</w:t>
      </w:r>
      <w:r w:rsidRPr="00E024BE">
        <w:rPr>
          <w:sz w:val="24"/>
          <w:szCs w:val="24"/>
          <w:lang w:val="ro-MD" w:eastAsia="ru-RU"/>
        </w:rPr>
        <w:t xml:space="preserve">; coeficientul </w:t>
      </w:r>
      <w:proofErr w:type="spellStart"/>
      <w:r w:rsidRPr="00E024BE">
        <w:rPr>
          <w:sz w:val="24"/>
          <w:szCs w:val="24"/>
          <w:lang w:val="ro-MD" w:eastAsia="ru-RU"/>
        </w:rPr>
        <w:t>complexităţii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din ramură; regimul </w:t>
      </w:r>
      <w:proofErr w:type="spellStart"/>
      <w:r w:rsidRPr="00E024BE">
        <w:rPr>
          <w:sz w:val="24"/>
          <w:szCs w:val="24"/>
          <w:lang w:val="ro-MD" w:eastAsia="ru-RU"/>
        </w:rPr>
        <w:t>şi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condiţiile</w:t>
      </w:r>
      <w:proofErr w:type="spellEnd"/>
      <w:r w:rsidRPr="00E024BE">
        <w:rPr>
          <w:sz w:val="24"/>
          <w:szCs w:val="24"/>
          <w:lang w:val="ro-MD" w:eastAsia="ru-RU"/>
        </w:rPr>
        <w:t xml:space="preserve"> de lucru; </w:t>
      </w:r>
      <w:proofErr w:type="spellStart"/>
      <w:r w:rsidRPr="00E024BE">
        <w:rPr>
          <w:sz w:val="24"/>
          <w:szCs w:val="24"/>
          <w:lang w:val="ro-MD" w:eastAsia="ru-RU"/>
        </w:rPr>
        <w:t>contribuţiile</w:t>
      </w:r>
      <w:proofErr w:type="spellEnd"/>
      <w:r w:rsidRPr="00E024BE">
        <w:rPr>
          <w:sz w:val="24"/>
          <w:szCs w:val="24"/>
          <w:lang w:val="ro-MD" w:eastAsia="ru-RU"/>
        </w:rPr>
        <w:t xml:space="preserve"> de asigurări sociale de stat obligatorii, alte </w:t>
      </w:r>
      <w:proofErr w:type="spellStart"/>
      <w:r w:rsidRPr="00E024BE">
        <w:rPr>
          <w:sz w:val="24"/>
          <w:szCs w:val="24"/>
          <w:lang w:val="ro-MD" w:eastAsia="ru-RU"/>
        </w:rPr>
        <w:t>plăţi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şi</w:t>
      </w:r>
      <w:proofErr w:type="spellEnd"/>
      <w:r w:rsidRPr="00E024BE">
        <w:rPr>
          <w:sz w:val="24"/>
          <w:szCs w:val="24"/>
          <w:lang w:val="ro-MD" w:eastAsia="ru-RU"/>
        </w:rPr>
        <w:t xml:space="preserve"> sporuri stabilite de </w:t>
      </w:r>
      <w:proofErr w:type="spellStart"/>
      <w:r w:rsidRPr="00E024BE">
        <w:rPr>
          <w:sz w:val="24"/>
          <w:szCs w:val="24"/>
          <w:lang w:val="ro-MD" w:eastAsia="ru-RU"/>
        </w:rPr>
        <w:t>legislaţie</w:t>
      </w:r>
      <w:proofErr w:type="spellEnd"/>
      <w:r w:rsidRPr="00E024BE">
        <w:rPr>
          <w:sz w:val="24"/>
          <w:szCs w:val="24"/>
          <w:lang w:val="ro-MD" w:eastAsia="ru-RU"/>
        </w:rPr>
        <w:t xml:space="preserve">. Aceste costuri se determină de Furnizor pentru </w:t>
      </w:r>
      <w:r w:rsidR="004F72BF" w:rsidRPr="00231B67">
        <w:rPr>
          <w:sz w:val="24"/>
          <w:szCs w:val="24"/>
          <w:lang w:val="ro-MD" w:eastAsia="ru-RU"/>
        </w:rPr>
        <w:t>anul de bază</w:t>
      </w:r>
      <w:r w:rsidRPr="00E024BE">
        <w:rPr>
          <w:sz w:val="24"/>
          <w:szCs w:val="24"/>
          <w:lang w:val="ro-MD" w:eastAsia="ru-RU"/>
        </w:rPr>
        <w:t xml:space="preserve">, se examinează şi se aprobă de către </w:t>
      </w:r>
      <w:proofErr w:type="spellStart"/>
      <w:r w:rsidRPr="00E024BE">
        <w:rPr>
          <w:sz w:val="24"/>
          <w:szCs w:val="24"/>
          <w:lang w:val="ro-MD" w:eastAsia="ru-RU"/>
        </w:rPr>
        <w:t>Agenţie</w:t>
      </w:r>
      <w:proofErr w:type="spellEnd"/>
      <w:r w:rsidRPr="00E024BE">
        <w:rPr>
          <w:sz w:val="24"/>
          <w:szCs w:val="24"/>
          <w:lang w:val="ro-MD" w:eastAsia="ru-RU"/>
        </w:rPr>
        <w:t>. Pentru fiecare an</w:t>
      </w:r>
      <w:r w:rsidR="004F72BF" w:rsidRPr="00231B67">
        <w:rPr>
          <w:sz w:val="24"/>
          <w:szCs w:val="24"/>
          <w:lang w:val="ro-MD" w:eastAsia="ru-RU"/>
        </w:rPr>
        <w:t xml:space="preserve"> „n”</w:t>
      </w:r>
      <w:r w:rsidRPr="00E024BE">
        <w:rPr>
          <w:sz w:val="24"/>
          <w:szCs w:val="24"/>
          <w:lang w:val="ro-MD" w:eastAsia="ru-RU"/>
        </w:rPr>
        <w:t xml:space="preserve"> ulterior</w:t>
      </w:r>
      <w:r w:rsidR="004F72BF" w:rsidRPr="00231B67">
        <w:rPr>
          <w:sz w:val="24"/>
          <w:szCs w:val="24"/>
          <w:lang w:val="ro-MD" w:eastAsia="ru-RU"/>
        </w:rPr>
        <w:t xml:space="preserve"> anului de bază</w:t>
      </w:r>
      <w:r w:rsidR="0057280C" w:rsidRPr="00231B67">
        <w:rPr>
          <w:sz w:val="24"/>
          <w:szCs w:val="24"/>
          <w:lang w:val="ro-MD" w:eastAsia="ru-RU"/>
        </w:rPr>
        <w:t xml:space="preserve"> din perioada de reglementare</w:t>
      </w:r>
      <w:r w:rsidRPr="00E024BE">
        <w:rPr>
          <w:sz w:val="24"/>
          <w:szCs w:val="24"/>
          <w:lang w:val="ro-MD" w:eastAsia="ru-RU"/>
        </w:rPr>
        <w:t xml:space="preserve">, aceste costuri se actualizează </w:t>
      </w:r>
      <w:r w:rsidR="003D3207" w:rsidRPr="00E024BE">
        <w:rPr>
          <w:sz w:val="24"/>
          <w:szCs w:val="24"/>
          <w:lang w:val="ro-MD" w:eastAsia="ru-RU"/>
        </w:rPr>
        <w:t>ț</w:t>
      </w:r>
      <w:r w:rsidR="00D70A46" w:rsidRPr="00231B67">
        <w:rPr>
          <w:sz w:val="24"/>
          <w:szCs w:val="24"/>
          <w:lang w:val="ro-MD" w:eastAsia="ru-RU"/>
        </w:rPr>
        <w:t xml:space="preserve">inând cont </w:t>
      </w:r>
      <w:r w:rsidRPr="00E024BE">
        <w:rPr>
          <w:sz w:val="24"/>
          <w:szCs w:val="24"/>
          <w:lang w:val="ro-MD" w:eastAsia="ru-RU"/>
        </w:rPr>
        <w:t>d</w:t>
      </w:r>
      <w:r w:rsidR="003D3207" w:rsidRPr="00E024BE">
        <w:rPr>
          <w:sz w:val="24"/>
          <w:szCs w:val="24"/>
          <w:lang w:val="ro-MD" w:eastAsia="ru-RU"/>
        </w:rPr>
        <w:t>e</w:t>
      </w:r>
      <w:r w:rsidRPr="00E024BE">
        <w:rPr>
          <w:sz w:val="24"/>
          <w:szCs w:val="24"/>
          <w:lang w:val="ro-MD" w:eastAsia="ru-RU"/>
        </w:rPr>
        <w:t xml:space="preserve"> indicele </w:t>
      </w:r>
      <w:proofErr w:type="spellStart"/>
      <w:r w:rsidRPr="00E024BE">
        <w:rPr>
          <w:sz w:val="24"/>
          <w:szCs w:val="24"/>
          <w:lang w:val="ro-MD" w:eastAsia="ru-RU"/>
        </w:rPr>
        <w:t>preţurilor</w:t>
      </w:r>
      <w:proofErr w:type="spellEnd"/>
      <w:r w:rsidRPr="00E024BE">
        <w:rPr>
          <w:sz w:val="24"/>
          <w:szCs w:val="24"/>
          <w:lang w:val="ro-MD" w:eastAsia="ru-RU"/>
        </w:rPr>
        <w:t xml:space="preserve"> de consum din Republica Moldova şi </w:t>
      </w:r>
      <w:r w:rsidR="00D70A46" w:rsidRPr="00E024BE">
        <w:rPr>
          <w:sz w:val="24"/>
          <w:szCs w:val="24"/>
          <w:lang w:val="ro-MD" w:eastAsia="ru-RU"/>
        </w:rPr>
        <w:t>d</w:t>
      </w:r>
      <w:r w:rsidR="00D70A46" w:rsidRPr="00231B67">
        <w:rPr>
          <w:sz w:val="24"/>
          <w:szCs w:val="24"/>
          <w:lang w:val="ro-MD" w:eastAsia="ru-RU"/>
        </w:rPr>
        <w:t>e</w:t>
      </w:r>
      <w:r w:rsidR="00D70A46" w:rsidRPr="00E024BE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 xml:space="preserve">indicele de modificare a numărului locurilor de consum ale consumatori finali </w:t>
      </w:r>
      <w:proofErr w:type="spellStart"/>
      <w:r w:rsidRPr="00E024BE">
        <w:rPr>
          <w:sz w:val="24"/>
          <w:szCs w:val="24"/>
          <w:lang w:val="ro-MD" w:eastAsia="ru-RU"/>
        </w:rPr>
        <w:t>deserviţi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Furnizor, conform formulei: </w:t>
      </w:r>
    </w:p>
    <w:p w14:paraId="32FB13B2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8346A7C" w14:textId="099A90E9" w:rsidR="00F1508C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CRF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CRF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IPCM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1+∆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(23)</m:t>
          </m:r>
        </m:oMath>
      </m:oMathPara>
    </w:p>
    <w:p w14:paraId="4392A973" w14:textId="63B0033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1820B358" w14:textId="77777777" w:rsidR="00F1508C" w:rsidRPr="00231B67" w:rsidRDefault="00F1508C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C7B6BE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IPCM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indicele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consum în RM în anul „n”;</w:t>
      </w:r>
    </w:p>
    <w:p w14:paraId="55E86A6B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∆</w:t>
      </w: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–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indicele modificării numărului locurilor de consum ale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„n”, care se determină conform formulei:</w:t>
      </w:r>
    </w:p>
    <w:p w14:paraId="50476682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5E3468AF" w14:textId="47FE4A55" w:rsidR="00C438BD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∆NC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n-1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(24)</m:t>
          </m:r>
        </m:oMath>
      </m:oMathPara>
    </w:p>
    <w:p w14:paraId="1BA0EB27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769E80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04F6F225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numărul locurilor de consum ale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către Furnizor în anul de reglementare „n”; </w:t>
      </w:r>
    </w:p>
    <w:p w14:paraId="10B41F41" w14:textId="16155ACE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NC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n-1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 numărul locurilor de consum al</w:t>
      </w:r>
      <w:r w:rsidR="005D2E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consumatorilor finali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deserviţi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Furnizor în anul „n-1”. </w:t>
      </w:r>
    </w:p>
    <w:p w14:paraId="0257D07E" w14:textId="760C5A11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cazul în care, la nivel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naţional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se va modifica salariul </w:t>
      </w:r>
      <w:r w:rsidR="008218A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minim</w:t>
      </w:r>
      <w:r w:rsidR="006138D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 țară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costurile aferente remunerării muncii, din anul respectiv, vor fi actualizate </w:t>
      </w:r>
      <w:r w:rsidR="003D320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luând în considerare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coeficientul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creşterii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medii anuale a salariului </w:t>
      </w:r>
      <w:r w:rsidR="008218A6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minim</w:t>
      </w:r>
      <w:r w:rsidR="006138DB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 țară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 </w:t>
      </w:r>
    </w:p>
    <w:p w14:paraId="7DE63608" w14:textId="096D8672" w:rsidR="00C438BD" w:rsidRPr="00E024BE" w:rsidRDefault="00C438BD" w:rsidP="00E024BE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E024BE">
        <w:rPr>
          <w:sz w:val="24"/>
          <w:szCs w:val="24"/>
          <w:lang w:val="ro-MD" w:eastAsia="ru-RU"/>
        </w:rPr>
        <w:t xml:space="preserve">Costurile materiale totale ale Furnizorului necesare pentru </w:t>
      </w:r>
      <w:proofErr w:type="spellStart"/>
      <w:r w:rsidRPr="00E024BE">
        <w:rPr>
          <w:sz w:val="24"/>
          <w:szCs w:val="24"/>
          <w:lang w:val="ro-MD" w:eastAsia="ru-RU"/>
        </w:rPr>
        <w:t>desfăşurarea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activităţii</w:t>
      </w:r>
      <w:proofErr w:type="spellEnd"/>
      <w:r w:rsidRPr="00E024BE">
        <w:rPr>
          <w:sz w:val="24"/>
          <w:szCs w:val="24"/>
          <w:lang w:val="ro-MD" w:eastAsia="ru-RU"/>
        </w:rPr>
        <w:t xml:space="preserve"> de furnizare a energiei electrice (CMF) se determină de Furnizor pentru</w:t>
      </w:r>
      <w:r w:rsidR="00461955" w:rsidRPr="00231B67">
        <w:rPr>
          <w:sz w:val="24"/>
          <w:szCs w:val="24"/>
          <w:lang w:val="ro-MD" w:eastAsia="ru-RU"/>
        </w:rPr>
        <w:t xml:space="preserve"> anul de bază</w:t>
      </w:r>
      <w:r w:rsidRPr="00E024BE">
        <w:rPr>
          <w:sz w:val="24"/>
          <w:szCs w:val="24"/>
          <w:lang w:val="ro-MD" w:eastAsia="ru-RU"/>
        </w:rPr>
        <w:t xml:space="preserve"> (</w:t>
      </w:r>
      <w:r w:rsidRPr="00E024BE">
        <w:rPr>
          <w:i/>
          <w:iCs/>
          <w:sz w:val="24"/>
          <w:szCs w:val="24"/>
          <w:lang w:val="ro-MD" w:eastAsia="ru-RU"/>
        </w:rPr>
        <w:t>CMF</w:t>
      </w:r>
      <w:r w:rsidRPr="00E024BE">
        <w:rPr>
          <w:i/>
          <w:iCs/>
          <w:sz w:val="24"/>
          <w:szCs w:val="24"/>
          <w:vertAlign w:val="subscript"/>
          <w:lang w:val="ro-MD" w:eastAsia="ru-RU"/>
        </w:rPr>
        <w:t>0</w:t>
      </w:r>
      <w:r w:rsidRPr="00E024BE">
        <w:rPr>
          <w:sz w:val="24"/>
          <w:szCs w:val="24"/>
          <w:lang w:val="ro-MD" w:eastAsia="ru-RU"/>
        </w:rPr>
        <w:t xml:space="preserve">) </w:t>
      </w:r>
      <w:r w:rsidR="003D3207" w:rsidRPr="00E024BE">
        <w:rPr>
          <w:sz w:val="24"/>
          <w:szCs w:val="24"/>
          <w:lang w:val="ro-MD" w:eastAsia="ru-RU"/>
        </w:rPr>
        <w:t xml:space="preserve">luând </w:t>
      </w:r>
      <w:r w:rsidR="003D3207" w:rsidRPr="00E024BE">
        <w:rPr>
          <w:sz w:val="24"/>
          <w:szCs w:val="24"/>
          <w:lang w:val="ro-MD" w:eastAsia="ru-RU"/>
        </w:rPr>
        <w:lastRenderedPageBreak/>
        <w:t>în considerare</w:t>
      </w:r>
      <w:r w:rsidR="00831204" w:rsidRPr="00231B67">
        <w:rPr>
          <w:sz w:val="24"/>
          <w:szCs w:val="24"/>
          <w:lang w:val="ro-MD" w:eastAsia="ru-RU"/>
        </w:rPr>
        <w:t xml:space="preserve"> </w:t>
      </w:r>
      <w:r w:rsidRPr="00E024BE">
        <w:rPr>
          <w:sz w:val="24"/>
          <w:szCs w:val="24"/>
          <w:lang w:val="ro-MD" w:eastAsia="ru-RU"/>
        </w:rPr>
        <w:t>cantitatea fiecărui tip de material necesar conform normelor de utilizare şi a analizei materialelor, utilizate de Furnizor în perioada precedentă de reglementare pentru deservirea consumatorilor</w:t>
      </w:r>
      <w:r w:rsidR="003D3207" w:rsidRPr="00E024BE">
        <w:rPr>
          <w:sz w:val="24"/>
          <w:szCs w:val="24"/>
          <w:lang w:val="ro-MD" w:eastAsia="ru-RU"/>
        </w:rPr>
        <w:t xml:space="preserve"> finali</w:t>
      </w:r>
      <w:r w:rsidRPr="00E024BE">
        <w:rPr>
          <w:sz w:val="24"/>
          <w:szCs w:val="24"/>
          <w:lang w:val="ro-MD" w:eastAsia="ru-RU"/>
        </w:rPr>
        <w:t xml:space="preserve">, pentru </w:t>
      </w:r>
      <w:proofErr w:type="spellStart"/>
      <w:r w:rsidRPr="00E024BE">
        <w:rPr>
          <w:sz w:val="24"/>
          <w:szCs w:val="24"/>
          <w:lang w:val="ro-MD" w:eastAsia="ru-RU"/>
        </w:rPr>
        <w:t>întreţinerea</w:t>
      </w:r>
      <w:proofErr w:type="spellEnd"/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şi</w:t>
      </w:r>
      <w:proofErr w:type="spellEnd"/>
      <w:r w:rsidRPr="00E024BE">
        <w:rPr>
          <w:sz w:val="24"/>
          <w:szCs w:val="24"/>
          <w:lang w:val="ro-MD" w:eastAsia="ru-RU"/>
        </w:rPr>
        <w:t xml:space="preserve"> pentru exploatarea mijloacelor fixe şi a imobilizărilor necorporale </w:t>
      </w:r>
      <w:r w:rsidR="003D3207" w:rsidRPr="00E024BE">
        <w:rPr>
          <w:sz w:val="24"/>
          <w:szCs w:val="24"/>
          <w:lang w:val="ro-MD" w:eastAsia="ru-RU"/>
        </w:rPr>
        <w:t>ț</w:t>
      </w:r>
      <w:r w:rsidR="00CF467F" w:rsidRPr="00231B67">
        <w:rPr>
          <w:sz w:val="24"/>
          <w:szCs w:val="24"/>
          <w:lang w:val="ro-MD" w:eastAsia="ru-RU"/>
        </w:rPr>
        <w:t>inând cont</w:t>
      </w:r>
      <w:r w:rsidRPr="00E024BE">
        <w:rPr>
          <w:sz w:val="24"/>
          <w:szCs w:val="24"/>
          <w:lang w:val="ro-MD" w:eastAsia="ru-RU"/>
        </w:rPr>
        <w:t xml:space="preserve"> d</w:t>
      </w:r>
      <w:r w:rsidR="003D3207" w:rsidRPr="00E024BE">
        <w:rPr>
          <w:sz w:val="24"/>
          <w:szCs w:val="24"/>
          <w:lang w:val="ro-MD" w:eastAsia="ru-RU"/>
        </w:rPr>
        <w:t>e</w:t>
      </w:r>
      <w:r w:rsidRPr="00E024BE">
        <w:rPr>
          <w:sz w:val="24"/>
          <w:szCs w:val="24"/>
          <w:lang w:val="ro-MD" w:eastAsia="ru-RU"/>
        </w:rPr>
        <w:t xml:space="preserve"> </w:t>
      </w:r>
      <w:proofErr w:type="spellStart"/>
      <w:r w:rsidRPr="00E024BE">
        <w:rPr>
          <w:sz w:val="24"/>
          <w:szCs w:val="24"/>
          <w:lang w:val="ro-MD" w:eastAsia="ru-RU"/>
        </w:rPr>
        <w:t>preţurile</w:t>
      </w:r>
      <w:proofErr w:type="spellEnd"/>
      <w:r w:rsidRPr="00E024BE">
        <w:rPr>
          <w:sz w:val="24"/>
          <w:szCs w:val="24"/>
          <w:lang w:val="ro-MD" w:eastAsia="ru-RU"/>
        </w:rPr>
        <w:t xml:space="preserve"> minime de pe </w:t>
      </w:r>
      <w:proofErr w:type="spellStart"/>
      <w:r w:rsidRPr="00E024BE">
        <w:rPr>
          <w:sz w:val="24"/>
          <w:szCs w:val="24"/>
          <w:lang w:val="ro-MD" w:eastAsia="ru-RU"/>
        </w:rPr>
        <w:t>piaţă</w:t>
      </w:r>
      <w:proofErr w:type="spellEnd"/>
      <w:r w:rsidRPr="00E024BE">
        <w:rPr>
          <w:sz w:val="24"/>
          <w:szCs w:val="24"/>
          <w:lang w:val="ro-MD" w:eastAsia="ru-RU"/>
        </w:rPr>
        <w:t xml:space="preserve">, ca rezultat al </w:t>
      </w:r>
      <w:proofErr w:type="spellStart"/>
      <w:r w:rsidRPr="00E024BE">
        <w:rPr>
          <w:sz w:val="24"/>
          <w:szCs w:val="24"/>
          <w:lang w:val="ro-MD" w:eastAsia="ru-RU"/>
        </w:rPr>
        <w:t>achiziţiilor</w:t>
      </w:r>
      <w:proofErr w:type="spellEnd"/>
      <w:r w:rsidRPr="00E024BE">
        <w:rPr>
          <w:sz w:val="24"/>
          <w:szCs w:val="24"/>
          <w:lang w:val="ro-MD" w:eastAsia="ru-RU"/>
        </w:rPr>
        <w:t xml:space="preserve"> efectuate în conformitate cu </w:t>
      </w:r>
      <w:r w:rsidR="003D3207" w:rsidRPr="00E024BE">
        <w:rPr>
          <w:sz w:val="24"/>
          <w:szCs w:val="24"/>
          <w:lang w:val="ro-MD" w:eastAsia="ru-RU"/>
        </w:rPr>
        <w:t xml:space="preserve">prevederile Legii </w:t>
      </w:r>
      <w:r w:rsidR="002508E4" w:rsidRPr="00E024BE">
        <w:rPr>
          <w:sz w:val="24"/>
          <w:szCs w:val="24"/>
          <w:lang w:val="ro-MD"/>
        </w:rPr>
        <w:t xml:space="preserve">privind </w:t>
      </w:r>
      <w:proofErr w:type="spellStart"/>
      <w:r w:rsidR="002508E4" w:rsidRPr="00E024BE">
        <w:rPr>
          <w:sz w:val="24"/>
          <w:szCs w:val="24"/>
          <w:lang w:val="ro-MD"/>
        </w:rPr>
        <w:t>achiziţiile</w:t>
      </w:r>
      <w:proofErr w:type="spellEnd"/>
      <w:r w:rsidR="002508E4" w:rsidRPr="00E024BE">
        <w:rPr>
          <w:sz w:val="24"/>
          <w:szCs w:val="24"/>
          <w:lang w:val="ro-MD"/>
        </w:rPr>
        <w:t xml:space="preserve"> în sectoarele energeticii, apei, transporturilor </w:t>
      </w:r>
      <w:proofErr w:type="spellStart"/>
      <w:r w:rsidR="002508E4" w:rsidRPr="00E024BE">
        <w:rPr>
          <w:sz w:val="24"/>
          <w:szCs w:val="24"/>
          <w:lang w:val="ro-MD"/>
        </w:rPr>
        <w:t>şi</w:t>
      </w:r>
      <w:proofErr w:type="spellEnd"/>
      <w:r w:rsidR="002508E4" w:rsidRPr="00E024BE">
        <w:rPr>
          <w:sz w:val="24"/>
          <w:szCs w:val="24"/>
          <w:lang w:val="ro-MD"/>
        </w:rPr>
        <w:t xml:space="preserve"> serviciilor </w:t>
      </w:r>
      <w:proofErr w:type="spellStart"/>
      <w:r w:rsidR="002508E4" w:rsidRPr="00E024BE">
        <w:rPr>
          <w:sz w:val="24"/>
          <w:szCs w:val="24"/>
          <w:lang w:val="ro-MD"/>
        </w:rPr>
        <w:t>poştale</w:t>
      </w:r>
      <w:proofErr w:type="spellEnd"/>
      <w:r w:rsidR="002508E4" w:rsidRPr="00E024BE">
        <w:rPr>
          <w:sz w:val="24"/>
          <w:szCs w:val="24"/>
          <w:lang w:val="ro-MD"/>
        </w:rPr>
        <w:t>, nr. 74</w:t>
      </w:r>
      <w:r w:rsidR="00BD1E3B" w:rsidRPr="00231B67">
        <w:rPr>
          <w:sz w:val="24"/>
          <w:szCs w:val="24"/>
          <w:lang w:val="ro-MD"/>
        </w:rPr>
        <w:t>/</w:t>
      </w:r>
      <w:r w:rsidR="002508E4" w:rsidRPr="00E024BE">
        <w:rPr>
          <w:sz w:val="24"/>
          <w:szCs w:val="24"/>
          <w:lang w:val="ro-MD"/>
        </w:rPr>
        <w:t>2020 (Monitorul Oficial, 2020,  nr.</w:t>
      </w:r>
      <w:r w:rsidR="00BD1E3B" w:rsidRPr="00231B67">
        <w:rPr>
          <w:sz w:val="24"/>
          <w:szCs w:val="24"/>
          <w:lang w:val="ro-MD"/>
        </w:rPr>
        <w:t xml:space="preserve"> </w:t>
      </w:r>
      <w:r w:rsidR="002508E4" w:rsidRPr="00E024BE">
        <w:rPr>
          <w:sz w:val="24"/>
          <w:szCs w:val="24"/>
          <w:lang w:val="ro-MD"/>
        </w:rPr>
        <w:t>153-158, art. 278)</w:t>
      </w:r>
      <w:r w:rsidRPr="00E024BE">
        <w:rPr>
          <w:sz w:val="24"/>
          <w:szCs w:val="24"/>
          <w:lang w:val="ro-MD" w:eastAsia="ru-RU"/>
        </w:rPr>
        <w:t xml:space="preserve">. Analogic costurilor cu personalul, aceste costuri se examinează şi se aprobă de </w:t>
      </w:r>
      <w:proofErr w:type="spellStart"/>
      <w:r w:rsidRPr="00E024BE">
        <w:rPr>
          <w:sz w:val="24"/>
          <w:szCs w:val="24"/>
          <w:lang w:val="ro-MD" w:eastAsia="ru-RU"/>
        </w:rPr>
        <w:t>Agenţie</w:t>
      </w:r>
      <w:proofErr w:type="spellEnd"/>
      <w:r w:rsidRPr="00E024BE">
        <w:rPr>
          <w:sz w:val="24"/>
          <w:szCs w:val="24"/>
          <w:lang w:val="ro-MD" w:eastAsia="ru-RU"/>
        </w:rPr>
        <w:t xml:space="preserve"> pentru an</w:t>
      </w:r>
      <w:r w:rsidR="00126C82" w:rsidRPr="00231B67">
        <w:rPr>
          <w:sz w:val="24"/>
          <w:szCs w:val="24"/>
          <w:lang w:val="ro-MD" w:eastAsia="ru-RU"/>
        </w:rPr>
        <w:t>ul</w:t>
      </w:r>
      <w:r w:rsidRPr="00E024BE">
        <w:rPr>
          <w:sz w:val="24"/>
          <w:szCs w:val="24"/>
          <w:lang w:val="ro-MD" w:eastAsia="ru-RU"/>
        </w:rPr>
        <w:t xml:space="preserve"> de bază. Pentru fiecare an „n” </w:t>
      </w:r>
      <w:r w:rsidR="00012605" w:rsidRPr="00231B67">
        <w:rPr>
          <w:sz w:val="24"/>
          <w:szCs w:val="24"/>
          <w:lang w:val="ro-MD" w:eastAsia="ru-RU"/>
        </w:rPr>
        <w:t xml:space="preserve">următor </w:t>
      </w:r>
      <w:r w:rsidR="00461955" w:rsidRPr="00231B67">
        <w:rPr>
          <w:sz w:val="24"/>
          <w:szCs w:val="24"/>
          <w:lang w:val="ro-MD" w:eastAsia="ru-RU"/>
        </w:rPr>
        <w:t>anului de bază</w:t>
      </w:r>
      <w:r w:rsidR="00A92CC5" w:rsidRPr="00231B67">
        <w:rPr>
          <w:sz w:val="24"/>
          <w:szCs w:val="24"/>
          <w:lang w:val="ro-MD" w:eastAsia="ru-RU"/>
        </w:rPr>
        <w:t xml:space="preserve"> din perioada de reglementare</w:t>
      </w:r>
      <w:r w:rsidRPr="00E024BE">
        <w:rPr>
          <w:sz w:val="24"/>
          <w:szCs w:val="24"/>
          <w:lang w:val="ro-MD" w:eastAsia="ru-RU"/>
        </w:rPr>
        <w:t>, aceste costuri se actualizează în conformitate cu următoarea formulă:</w:t>
      </w:r>
    </w:p>
    <w:p w14:paraId="03B3BCF6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2164CAB6" w14:textId="243A14EC" w:rsidR="00C438BD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CMF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CMF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HIPC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∆NC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LeiD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LeiD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n-1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 (25)</m:t>
              </m:r>
            </m:e>
          </m:nary>
        </m:oMath>
      </m:oMathPara>
    </w:p>
    <w:p w14:paraId="32C17B7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3A950ED" w14:textId="4B3C8FA6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D5F9DDB" w14:textId="77777777" w:rsidR="00831204" w:rsidRPr="00231B67" w:rsidRDefault="00831204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1927AC0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HICP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indicele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consum al SUA în anul „n”, publicat de către Departamentul Muncii al SUA;</w:t>
      </w:r>
    </w:p>
    <w:p w14:paraId="7B7BEBBE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LeiD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n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cursul oficial mediu de schimb al leului moldovenesc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faţă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dolarul SUA în anul „n”, anul pentru care se actualizează costurile;</w:t>
      </w:r>
    </w:p>
    <w:p w14:paraId="5C0FC99D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LeiD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n-1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cursul oficial mediu de schimb al leului moldovenesc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faţă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dolarul SUA în anul precedent (n-1).</w:t>
      </w:r>
    </w:p>
    <w:p w14:paraId="64B673F5" w14:textId="44A69094" w:rsidR="00C438BD" w:rsidRPr="00D00590" w:rsidRDefault="00C438BD" w:rsidP="00D00590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00590">
        <w:rPr>
          <w:sz w:val="24"/>
          <w:szCs w:val="24"/>
          <w:lang w:val="ro-MD" w:eastAsia="ru-RU"/>
        </w:rPr>
        <w:t xml:space="preserve">Costul total al serviciilor prestate de </w:t>
      </w:r>
      <w:proofErr w:type="spellStart"/>
      <w:r w:rsidRPr="00D00590">
        <w:rPr>
          <w:sz w:val="24"/>
          <w:szCs w:val="24"/>
          <w:lang w:val="ro-MD" w:eastAsia="ru-RU"/>
        </w:rPr>
        <w:t>terţi</w:t>
      </w:r>
      <w:proofErr w:type="spellEnd"/>
      <w:r w:rsidRPr="00D00590">
        <w:rPr>
          <w:sz w:val="24"/>
          <w:szCs w:val="24"/>
          <w:lang w:val="ro-MD" w:eastAsia="ru-RU"/>
        </w:rPr>
        <w:t xml:space="preserve"> include costul serviciilor de expediere a facturilor de plată, de încasare a </w:t>
      </w:r>
      <w:proofErr w:type="spellStart"/>
      <w:r w:rsidRPr="00D00590">
        <w:rPr>
          <w:sz w:val="24"/>
          <w:szCs w:val="24"/>
          <w:lang w:val="ro-MD" w:eastAsia="ru-RU"/>
        </w:rPr>
        <w:t>plăţilor</w:t>
      </w:r>
      <w:proofErr w:type="spellEnd"/>
      <w:r w:rsidRPr="00D00590">
        <w:rPr>
          <w:sz w:val="24"/>
          <w:szCs w:val="24"/>
          <w:lang w:val="ro-MD" w:eastAsia="ru-RU"/>
        </w:rPr>
        <w:t xml:space="preserve"> pentru energia electrică de la consumatori, al serviciil</w:t>
      </w:r>
      <w:r w:rsidR="00012605" w:rsidRPr="00231B67">
        <w:rPr>
          <w:sz w:val="24"/>
          <w:szCs w:val="24"/>
          <w:lang w:val="ro-MD" w:eastAsia="ru-RU"/>
        </w:rPr>
        <w:t>or</w:t>
      </w:r>
      <w:r w:rsidRPr="00D00590">
        <w:rPr>
          <w:sz w:val="24"/>
          <w:szCs w:val="24"/>
          <w:lang w:val="ro-MD" w:eastAsia="ru-RU"/>
        </w:rPr>
        <w:t xml:space="preserve"> telefonice </w:t>
      </w:r>
      <w:proofErr w:type="spellStart"/>
      <w:r w:rsidRPr="00D00590">
        <w:rPr>
          <w:sz w:val="24"/>
          <w:szCs w:val="24"/>
          <w:lang w:val="ro-MD" w:eastAsia="ru-RU"/>
        </w:rPr>
        <w:t>şi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informaţionale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şi</w:t>
      </w:r>
      <w:proofErr w:type="spellEnd"/>
      <w:r w:rsidRPr="00D00590">
        <w:rPr>
          <w:sz w:val="24"/>
          <w:szCs w:val="24"/>
          <w:lang w:val="ro-MD" w:eastAsia="ru-RU"/>
        </w:rPr>
        <w:t xml:space="preserve"> ale altor servicii </w:t>
      </w:r>
      <w:r w:rsidR="0002212B" w:rsidRPr="00D00590">
        <w:rPr>
          <w:sz w:val="24"/>
          <w:szCs w:val="24"/>
          <w:lang w:val="ro-MD" w:eastAsia="ru-RU"/>
        </w:rPr>
        <w:t xml:space="preserve">necesare </w:t>
      </w:r>
      <w:r w:rsidRPr="00D00590">
        <w:rPr>
          <w:sz w:val="24"/>
          <w:szCs w:val="24"/>
          <w:lang w:val="ro-MD" w:eastAsia="ru-RU"/>
        </w:rPr>
        <w:t xml:space="preserve">pentru </w:t>
      </w:r>
      <w:r w:rsidR="0002212B" w:rsidRPr="00D00590">
        <w:rPr>
          <w:sz w:val="24"/>
          <w:szCs w:val="24"/>
          <w:lang w:val="ro-MD" w:eastAsia="ru-RU"/>
        </w:rPr>
        <w:t xml:space="preserve">desfășurarea </w:t>
      </w:r>
      <w:r w:rsidRPr="00D00590">
        <w:rPr>
          <w:sz w:val="24"/>
          <w:szCs w:val="24"/>
          <w:lang w:val="ro-MD" w:eastAsia="ru-RU"/>
        </w:rPr>
        <w:t>activit</w:t>
      </w:r>
      <w:r w:rsidR="0002212B" w:rsidRPr="00D00590">
        <w:rPr>
          <w:sz w:val="24"/>
          <w:szCs w:val="24"/>
          <w:lang w:val="ro-MD" w:eastAsia="ru-RU"/>
        </w:rPr>
        <w:t>ății</w:t>
      </w:r>
      <w:r w:rsidRPr="00D00590">
        <w:rPr>
          <w:sz w:val="24"/>
          <w:szCs w:val="24"/>
          <w:lang w:val="ro-MD" w:eastAsia="ru-RU"/>
        </w:rPr>
        <w:t xml:space="preserve"> de furnizare a energiei electrice, prestate Furnizorului conform contractelor încheiate cu </w:t>
      </w:r>
      <w:proofErr w:type="spellStart"/>
      <w:r w:rsidRPr="00D00590">
        <w:rPr>
          <w:sz w:val="24"/>
          <w:szCs w:val="24"/>
          <w:lang w:val="ro-MD" w:eastAsia="ru-RU"/>
        </w:rPr>
        <w:t>terţe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părţi</w:t>
      </w:r>
      <w:proofErr w:type="spellEnd"/>
      <w:r w:rsidRPr="00D00590">
        <w:rPr>
          <w:sz w:val="24"/>
          <w:szCs w:val="24"/>
          <w:lang w:val="ro-MD" w:eastAsia="ru-RU"/>
        </w:rPr>
        <w:t xml:space="preserve">. Aceste costuri se determină pentru </w:t>
      </w:r>
      <w:r w:rsidR="00126C82" w:rsidRPr="00231B67">
        <w:rPr>
          <w:sz w:val="24"/>
          <w:szCs w:val="24"/>
          <w:lang w:val="ro-MD" w:eastAsia="ru-RU"/>
        </w:rPr>
        <w:t>anul de bază</w:t>
      </w:r>
      <w:r w:rsidRPr="00D00590">
        <w:rPr>
          <w:sz w:val="24"/>
          <w:szCs w:val="24"/>
          <w:lang w:val="ro-MD" w:eastAsia="ru-RU"/>
        </w:rPr>
        <w:t xml:space="preserve"> (</w:t>
      </w:r>
      <w:r w:rsidRPr="00D00590">
        <w:rPr>
          <w:i/>
          <w:iCs/>
          <w:sz w:val="24"/>
          <w:szCs w:val="24"/>
          <w:lang w:val="ro-MD" w:eastAsia="ru-RU"/>
        </w:rPr>
        <w:t>CSP</w:t>
      </w:r>
      <w:r w:rsidRPr="00D00590">
        <w:rPr>
          <w:i/>
          <w:iCs/>
          <w:sz w:val="24"/>
          <w:szCs w:val="24"/>
          <w:vertAlign w:val="subscript"/>
          <w:lang w:val="ro-MD" w:eastAsia="ru-RU"/>
        </w:rPr>
        <w:t>0</w:t>
      </w:r>
      <w:r w:rsidRPr="00D00590">
        <w:rPr>
          <w:sz w:val="24"/>
          <w:szCs w:val="24"/>
          <w:lang w:val="ro-MD" w:eastAsia="ru-RU"/>
        </w:rPr>
        <w:t xml:space="preserve">) </w:t>
      </w:r>
      <w:r w:rsidR="008209FE" w:rsidRPr="00D00590">
        <w:rPr>
          <w:sz w:val="24"/>
          <w:szCs w:val="24"/>
          <w:lang w:val="ro-MD" w:eastAsia="ru-RU"/>
        </w:rPr>
        <w:t xml:space="preserve">luând în considerare </w:t>
      </w:r>
      <w:r w:rsidRPr="00D00590">
        <w:rPr>
          <w:sz w:val="24"/>
          <w:szCs w:val="24"/>
          <w:lang w:val="ro-MD" w:eastAsia="ru-RU"/>
        </w:rPr>
        <w:t xml:space="preserve">contractele de antrepriză încheiate cu </w:t>
      </w:r>
      <w:proofErr w:type="spellStart"/>
      <w:r w:rsidRPr="00D00590">
        <w:rPr>
          <w:sz w:val="24"/>
          <w:szCs w:val="24"/>
          <w:lang w:val="ro-MD" w:eastAsia="ru-RU"/>
        </w:rPr>
        <w:t>terţe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părţi</w:t>
      </w:r>
      <w:proofErr w:type="spellEnd"/>
      <w:r w:rsidRPr="00D00590">
        <w:rPr>
          <w:sz w:val="24"/>
          <w:szCs w:val="24"/>
          <w:lang w:val="ro-MD" w:eastAsia="ru-RU"/>
        </w:rPr>
        <w:t xml:space="preserve"> în procesul </w:t>
      </w:r>
      <w:proofErr w:type="spellStart"/>
      <w:r w:rsidRPr="00D00590">
        <w:rPr>
          <w:sz w:val="24"/>
          <w:szCs w:val="24"/>
          <w:lang w:val="ro-MD" w:eastAsia="ru-RU"/>
        </w:rPr>
        <w:t>achiziţiei</w:t>
      </w:r>
      <w:proofErr w:type="spellEnd"/>
      <w:r w:rsidRPr="00D00590">
        <w:rPr>
          <w:sz w:val="24"/>
          <w:szCs w:val="24"/>
          <w:lang w:val="ro-MD" w:eastAsia="ru-RU"/>
        </w:rPr>
        <w:t xml:space="preserve"> de lucrări </w:t>
      </w:r>
      <w:proofErr w:type="spellStart"/>
      <w:r w:rsidRPr="00D00590">
        <w:rPr>
          <w:sz w:val="24"/>
          <w:szCs w:val="24"/>
          <w:lang w:val="ro-MD" w:eastAsia="ru-RU"/>
        </w:rPr>
        <w:t>şi</w:t>
      </w:r>
      <w:proofErr w:type="spellEnd"/>
      <w:r w:rsidRPr="00D00590">
        <w:rPr>
          <w:sz w:val="24"/>
          <w:szCs w:val="24"/>
          <w:lang w:val="ro-MD" w:eastAsia="ru-RU"/>
        </w:rPr>
        <w:t xml:space="preserve"> de servicii, efectuate în conformitate cu </w:t>
      </w:r>
      <w:r w:rsidR="0002212B" w:rsidRPr="00D00590">
        <w:rPr>
          <w:sz w:val="24"/>
          <w:szCs w:val="24"/>
          <w:lang w:val="ro-MD" w:eastAsia="ru-RU"/>
        </w:rPr>
        <w:t xml:space="preserve">prevederile Legii </w:t>
      </w:r>
      <w:r w:rsidR="0002212B" w:rsidRPr="00D00590">
        <w:rPr>
          <w:sz w:val="24"/>
          <w:szCs w:val="24"/>
          <w:lang w:val="ro-MD"/>
        </w:rPr>
        <w:t xml:space="preserve">privind </w:t>
      </w:r>
      <w:proofErr w:type="spellStart"/>
      <w:r w:rsidR="0002212B" w:rsidRPr="00D00590">
        <w:rPr>
          <w:sz w:val="24"/>
          <w:szCs w:val="24"/>
          <w:lang w:val="ro-MD"/>
        </w:rPr>
        <w:t>achiziţiile</w:t>
      </w:r>
      <w:proofErr w:type="spellEnd"/>
      <w:r w:rsidR="0002212B" w:rsidRPr="00D00590">
        <w:rPr>
          <w:sz w:val="24"/>
          <w:szCs w:val="24"/>
          <w:lang w:val="ro-MD"/>
        </w:rPr>
        <w:t xml:space="preserve"> în sectoarele energeticii, apei, transporturilor </w:t>
      </w:r>
      <w:proofErr w:type="spellStart"/>
      <w:r w:rsidR="0002212B" w:rsidRPr="00D00590">
        <w:rPr>
          <w:sz w:val="24"/>
          <w:szCs w:val="24"/>
          <w:lang w:val="ro-MD"/>
        </w:rPr>
        <w:t>şi</w:t>
      </w:r>
      <w:proofErr w:type="spellEnd"/>
      <w:r w:rsidR="0002212B" w:rsidRPr="00D00590">
        <w:rPr>
          <w:sz w:val="24"/>
          <w:szCs w:val="24"/>
          <w:lang w:val="ro-MD"/>
        </w:rPr>
        <w:t xml:space="preserve"> serviciilor </w:t>
      </w:r>
      <w:proofErr w:type="spellStart"/>
      <w:r w:rsidR="0002212B" w:rsidRPr="00D00590">
        <w:rPr>
          <w:sz w:val="24"/>
          <w:szCs w:val="24"/>
          <w:lang w:val="ro-MD"/>
        </w:rPr>
        <w:t>poştale</w:t>
      </w:r>
      <w:proofErr w:type="spellEnd"/>
      <w:r w:rsidR="0002212B" w:rsidRPr="00D00590">
        <w:rPr>
          <w:sz w:val="24"/>
          <w:szCs w:val="24"/>
          <w:lang w:val="ro-MD"/>
        </w:rPr>
        <w:t>, nr. 74</w:t>
      </w:r>
      <w:r w:rsidR="00012605" w:rsidRPr="00231B67">
        <w:rPr>
          <w:sz w:val="24"/>
          <w:szCs w:val="24"/>
          <w:lang w:val="ro-MD"/>
        </w:rPr>
        <w:t>/</w:t>
      </w:r>
      <w:r w:rsidR="0002212B" w:rsidRPr="00D00590">
        <w:rPr>
          <w:sz w:val="24"/>
          <w:szCs w:val="24"/>
          <w:lang w:val="ro-MD"/>
        </w:rPr>
        <w:t>2020 (Monitorul Oficial, 2020,  nr.</w:t>
      </w:r>
      <w:r w:rsidR="00012605" w:rsidRPr="00231B67">
        <w:rPr>
          <w:sz w:val="24"/>
          <w:szCs w:val="24"/>
          <w:lang w:val="ro-MD"/>
        </w:rPr>
        <w:t xml:space="preserve"> </w:t>
      </w:r>
      <w:r w:rsidR="0002212B" w:rsidRPr="00D00590">
        <w:rPr>
          <w:sz w:val="24"/>
          <w:szCs w:val="24"/>
          <w:lang w:val="ro-MD"/>
        </w:rPr>
        <w:t>153-158, art. 278)</w:t>
      </w:r>
      <w:r w:rsidRPr="00D00590">
        <w:rPr>
          <w:sz w:val="24"/>
          <w:szCs w:val="24"/>
          <w:lang w:val="ro-MD" w:eastAsia="ru-RU"/>
        </w:rPr>
        <w:t xml:space="preserve">. Aceste costuri se examinează şi se aprobă de </w:t>
      </w:r>
      <w:proofErr w:type="spellStart"/>
      <w:r w:rsidRPr="00D00590">
        <w:rPr>
          <w:sz w:val="24"/>
          <w:szCs w:val="24"/>
          <w:lang w:val="ro-MD" w:eastAsia="ru-RU"/>
        </w:rPr>
        <w:t>Agenţie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r w:rsidR="00E363B2" w:rsidRPr="00231B67">
        <w:rPr>
          <w:sz w:val="24"/>
          <w:szCs w:val="24"/>
          <w:lang w:val="ro-MD" w:eastAsia="ru-RU"/>
        </w:rPr>
        <w:t>pentru</w:t>
      </w:r>
      <w:r w:rsidR="00E363B2" w:rsidRPr="00D00590">
        <w:rPr>
          <w:sz w:val="24"/>
          <w:szCs w:val="24"/>
          <w:lang w:val="ro-MD" w:eastAsia="ru-RU"/>
        </w:rPr>
        <w:t xml:space="preserve"> </w:t>
      </w:r>
      <w:r w:rsidR="00E363B2" w:rsidRPr="00231B67">
        <w:rPr>
          <w:sz w:val="24"/>
          <w:szCs w:val="24"/>
          <w:lang w:val="ro-MD" w:eastAsia="ru-RU"/>
        </w:rPr>
        <w:t>anul</w:t>
      </w:r>
      <w:r w:rsidR="00E363B2" w:rsidRPr="00D00590">
        <w:rPr>
          <w:sz w:val="24"/>
          <w:szCs w:val="24"/>
          <w:lang w:val="ro-MD" w:eastAsia="ru-RU"/>
        </w:rPr>
        <w:t xml:space="preserve"> </w:t>
      </w:r>
      <w:r w:rsidRPr="00D00590">
        <w:rPr>
          <w:sz w:val="24"/>
          <w:szCs w:val="24"/>
          <w:lang w:val="ro-MD" w:eastAsia="ru-RU"/>
        </w:rPr>
        <w:t>de bază</w:t>
      </w:r>
      <w:r w:rsidR="00E363B2" w:rsidRPr="00231B67">
        <w:rPr>
          <w:sz w:val="24"/>
          <w:szCs w:val="24"/>
          <w:lang w:val="ro-MD" w:eastAsia="ru-RU"/>
        </w:rPr>
        <w:t>.</w:t>
      </w:r>
      <w:r w:rsidRPr="00D00590">
        <w:rPr>
          <w:sz w:val="24"/>
          <w:szCs w:val="24"/>
          <w:lang w:val="ro-MD" w:eastAsia="ru-RU"/>
        </w:rPr>
        <w:t xml:space="preserve"> Pentru fiecare an „n” următor</w:t>
      </w:r>
      <w:r w:rsidR="00E363B2" w:rsidRPr="00231B67">
        <w:rPr>
          <w:sz w:val="24"/>
          <w:szCs w:val="24"/>
          <w:lang w:val="ro-MD" w:eastAsia="ru-RU"/>
        </w:rPr>
        <w:t xml:space="preserve"> anului de bază</w:t>
      </w:r>
      <w:r w:rsidR="00A92CC5" w:rsidRPr="00231B67">
        <w:rPr>
          <w:sz w:val="24"/>
          <w:szCs w:val="24"/>
          <w:lang w:val="ro-MD" w:eastAsia="ru-RU"/>
        </w:rPr>
        <w:t xml:space="preserve"> din perioada de reglementare</w:t>
      </w:r>
      <w:r w:rsidRPr="00D00590">
        <w:rPr>
          <w:sz w:val="24"/>
          <w:szCs w:val="24"/>
          <w:lang w:val="ro-MD" w:eastAsia="ru-RU"/>
        </w:rPr>
        <w:t>, costurile în cauză se actualizează în conformitate cu următoarea formulă:</w:t>
      </w:r>
    </w:p>
    <w:p w14:paraId="468B7BBC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7016AD31" w14:textId="4FCF3BC7" w:rsidR="00C438BD" w:rsidRPr="00231B67" w:rsidRDefault="009361AC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CSP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nary>
            <m:naryPr>
              <m:chr m:val="∏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IPCM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o-MD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∆NC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o-MD" w:eastAsia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 (26)</m:t>
              </m:r>
            </m:e>
          </m:nary>
        </m:oMath>
      </m:oMathPara>
    </w:p>
    <w:p w14:paraId="30FF1F19" w14:textId="77777777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658C3F2" w14:textId="4ECA4DE9" w:rsidR="00C438BD" w:rsidRPr="00D00590" w:rsidRDefault="00C438BD" w:rsidP="00D00590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00590">
        <w:rPr>
          <w:sz w:val="24"/>
          <w:szCs w:val="24"/>
          <w:lang w:val="ro-MD" w:eastAsia="ru-RU"/>
        </w:rPr>
        <w:t xml:space="preserve">Amortizarea mijloacelor fixe şi </w:t>
      </w:r>
      <w:r w:rsidR="0002212B" w:rsidRPr="00D00590">
        <w:rPr>
          <w:sz w:val="24"/>
          <w:szCs w:val="24"/>
          <w:lang w:val="ro-MD" w:eastAsia="ru-RU"/>
        </w:rPr>
        <w:t xml:space="preserve">a </w:t>
      </w:r>
      <w:r w:rsidRPr="00D00590">
        <w:rPr>
          <w:sz w:val="24"/>
          <w:szCs w:val="24"/>
          <w:lang w:val="ro-MD" w:eastAsia="ru-RU"/>
        </w:rPr>
        <w:t>imobilizărilor necorporale (</w:t>
      </w:r>
      <w:r w:rsidR="008C7F95" w:rsidRPr="00D00590">
        <w:rPr>
          <w:sz w:val="24"/>
          <w:szCs w:val="24"/>
          <w:lang w:val="ro-MD" w:eastAsia="ru-RU"/>
        </w:rPr>
        <w:t>AMI</w:t>
      </w:r>
      <w:r w:rsidRPr="00D00590">
        <w:rPr>
          <w:sz w:val="24"/>
          <w:szCs w:val="24"/>
          <w:lang w:val="ro-MD" w:eastAsia="ru-RU"/>
        </w:rPr>
        <w:t xml:space="preserve">) se determină anual de către Furnizor </w:t>
      </w:r>
      <w:r w:rsidR="0002212B" w:rsidRPr="00D00590">
        <w:rPr>
          <w:sz w:val="24"/>
          <w:szCs w:val="24"/>
          <w:lang w:val="ro-MD" w:eastAsia="ru-RU"/>
        </w:rPr>
        <w:t xml:space="preserve">luând în considerare </w:t>
      </w:r>
      <w:r w:rsidRPr="00D00590">
        <w:rPr>
          <w:sz w:val="24"/>
          <w:szCs w:val="24"/>
          <w:lang w:val="ro-MD" w:eastAsia="ru-RU"/>
        </w:rPr>
        <w:t xml:space="preserve">valoarea de intrare a imobilizărilor necesare pentru </w:t>
      </w:r>
      <w:proofErr w:type="spellStart"/>
      <w:r w:rsidRPr="00D00590">
        <w:rPr>
          <w:sz w:val="24"/>
          <w:szCs w:val="24"/>
          <w:lang w:val="ro-MD" w:eastAsia="ru-RU"/>
        </w:rPr>
        <w:t>desfăşurarea</w:t>
      </w:r>
      <w:proofErr w:type="spellEnd"/>
      <w:r w:rsidRPr="00D00590">
        <w:rPr>
          <w:sz w:val="24"/>
          <w:szCs w:val="24"/>
          <w:lang w:val="ro-MD" w:eastAsia="ru-RU"/>
        </w:rPr>
        <w:t xml:space="preserve"> </w:t>
      </w:r>
      <w:proofErr w:type="spellStart"/>
      <w:r w:rsidRPr="00D00590">
        <w:rPr>
          <w:sz w:val="24"/>
          <w:szCs w:val="24"/>
          <w:lang w:val="ro-MD" w:eastAsia="ru-RU"/>
        </w:rPr>
        <w:t>activităţii</w:t>
      </w:r>
      <w:proofErr w:type="spellEnd"/>
      <w:r w:rsidRPr="00D00590">
        <w:rPr>
          <w:sz w:val="24"/>
          <w:szCs w:val="24"/>
          <w:lang w:val="ro-MD" w:eastAsia="ru-RU"/>
        </w:rPr>
        <w:t xml:space="preserve"> de furnizare a energiei electrice şi </w:t>
      </w:r>
      <w:r w:rsidR="008209FE" w:rsidRPr="00D00590">
        <w:rPr>
          <w:sz w:val="24"/>
          <w:szCs w:val="24"/>
          <w:lang w:val="ro-MD" w:eastAsia="ru-RU"/>
        </w:rPr>
        <w:t xml:space="preserve">luând în considerare </w:t>
      </w:r>
      <w:r w:rsidRPr="00D00590">
        <w:rPr>
          <w:sz w:val="24"/>
          <w:szCs w:val="24"/>
          <w:lang w:val="ro-MD" w:eastAsia="ru-RU"/>
        </w:rPr>
        <w:t>durata de utilizare a acestora, utilizând metoda amortizării liniare care conduce la defalcări uniforme a amortizării în costurile şi cheltuielile Furnizorului, pe toată durata de utilizare a mijloacelor fixe şi a imobilizărilor necorporale, conform formulei:</w:t>
      </w:r>
    </w:p>
    <w:p w14:paraId="5661E7CA" w14:textId="5CF8F6E9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/>
            <w:lang w:val="ro-MD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o-MD"/>
                </w:rPr>
                <m:t>AMI</m:t>
              </m:r>
            </m:e>
            <m:sub>
              <m:r>
                <w:rPr>
                  <w:rFonts w:ascii="Cambria Math" w:eastAsia="Times New Roman" w:hAnsi="Cambria Math"/>
                  <w:lang w:val="ro-MD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o-MD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lang w:val="ro-MD"/>
                </w:rPr>
              </m:ctrlPr>
            </m:naryPr>
            <m:sub>
              <m:r>
                <w:rPr>
                  <w:rFonts w:ascii="Cambria Math" w:eastAsia="Times New Roman" w:hAnsi="Cambria Math"/>
                  <w:lang w:val="ro-MD"/>
                </w:rPr>
                <m:t>k=1</m:t>
              </m:r>
            </m:sub>
            <m:sup>
              <m:r>
                <w:rPr>
                  <w:rFonts w:ascii="Cambria Math" w:eastAsia="Times New Roman" w:hAnsi="Cambria Math"/>
                  <w:lang w:val="ro-MD"/>
                </w:rPr>
                <m:t>m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val="ro-MD"/>
                        </w:rPr>
                        <m:t>VIA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val="ro-MD"/>
                        </w:rPr>
                        <m:t>n-1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lang w:val="ro-MD"/>
                    </w:rPr>
                    <m:t>DV</m:t>
                  </m:r>
                </m:den>
              </m:f>
            </m:e>
          </m:nary>
          <m:r>
            <w:rPr>
              <w:rFonts w:ascii="Cambria Math" w:eastAsia="Times New Roman" w:hAnsi="Cambria Math"/>
              <w:lang w:val="ro-MD"/>
            </w:rPr>
            <m:t xml:space="preserve">    (27)</m:t>
          </m:r>
          <m:r>
            <m:rPr>
              <m:sty m:val="p"/>
            </m:rPr>
            <w:rPr>
              <w:rFonts w:ascii="Cambria Math" w:eastAsia="Times New Roman" w:hAnsi="Cambria Math"/>
              <w:lang w:val="ro-MD"/>
            </w:rPr>
            <w:br/>
          </m:r>
        </m:oMath>
      </m:oMathPara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0506182A" w14:textId="0837D080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60466E61" w14:textId="77777777" w:rsidR="00831204" w:rsidRPr="00231B67" w:rsidRDefault="00831204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5D9A653" w14:textId="402C6E18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VIA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n-1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valoarea de intrare a mijloacelor fixe şi a imobilizărilor necorporale utilizate în activitatea de furnizare a energiei electrice </w:t>
      </w:r>
      <w:r w:rsidR="00012605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puse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exploatare până în anul „n-1”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urma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investiţiilor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efectuate conform planurilor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investiţii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aprobate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; </w:t>
      </w:r>
    </w:p>
    <w:p w14:paraId="19CE984B" w14:textId="2AD0A48A" w:rsidR="00C438BD" w:rsidRPr="00231B67" w:rsidRDefault="00C438BD" w:rsidP="00C43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DV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durata de utilizare a mijloacelor fixe şi a imobilizărilor necorporale, care trebuie să corespundă duratei reale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viaţă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activului. Totodată, această durată de utilizare nu poate fi mai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 xml:space="preserve">mică decât durata indicată în Catalogul mijloacelor fixe, aprobat prin </w:t>
      </w:r>
      <w:hyperlink r:id="rId9" w:history="1">
        <w:proofErr w:type="spellStart"/>
        <w:r w:rsidRPr="00231B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 w:eastAsia="ru-RU"/>
          </w:rPr>
          <w:t>Hotărîrea</w:t>
        </w:r>
        <w:proofErr w:type="spellEnd"/>
        <w:r w:rsidRPr="00231B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 w:eastAsia="ru-RU"/>
          </w:rPr>
          <w:t xml:space="preserve"> Guvernului nr.</w:t>
        </w:r>
        <w:r w:rsidR="0002212B" w:rsidRPr="00231B67">
          <w:rPr>
            <w:lang w:val="ro-MD"/>
          </w:rPr>
          <w:t xml:space="preserve"> </w:t>
        </w:r>
        <w:r w:rsidR="0002212B" w:rsidRPr="00231B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 w:eastAsia="ru-RU"/>
          </w:rPr>
          <w:t xml:space="preserve">941 </w:t>
        </w:r>
        <w:r w:rsidR="00012605" w:rsidRPr="00231B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 w:eastAsia="ru-RU"/>
          </w:rPr>
          <w:t>/</w:t>
        </w:r>
        <w:r w:rsidR="0002212B" w:rsidRPr="00231B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 w:eastAsia="ru-RU"/>
          </w:rPr>
          <w:t>2020</w:t>
        </w:r>
      </w:hyperlink>
      <w:r w:rsidR="007934F7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iar pentru imobilizările necorporale, conform Anexei 1.</w:t>
      </w:r>
    </w:p>
    <w:p w14:paraId="25B53C6E" w14:textId="7FA8E756" w:rsidR="00C438BD" w:rsidRDefault="00C438BD" w:rsidP="00D00590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00590">
        <w:rPr>
          <w:sz w:val="24"/>
          <w:szCs w:val="24"/>
          <w:lang w:val="ro-MD" w:eastAsia="ru-RU"/>
        </w:rPr>
        <w:t xml:space="preserve">Planificarea </w:t>
      </w:r>
      <w:proofErr w:type="spellStart"/>
      <w:r w:rsidRPr="00D00590">
        <w:rPr>
          <w:sz w:val="24"/>
          <w:szCs w:val="24"/>
          <w:lang w:val="ro-MD" w:eastAsia="ru-RU"/>
        </w:rPr>
        <w:t>şi</w:t>
      </w:r>
      <w:proofErr w:type="spellEnd"/>
      <w:r w:rsidRPr="00D00590">
        <w:rPr>
          <w:sz w:val="24"/>
          <w:szCs w:val="24"/>
          <w:lang w:val="ro-MD" w:eastAsia="ru-RU"/>
        </w:rPr>
        <w:t xml:space="preserve"> efectuarea </w:t>
      </w:r>
      <w:proofErr w:type="spellStart"/>
      <w:r w:rsidRPr="00D00590">
        <w:rPr>
          <w:sz w:val="24"/>
          <w:szCs w:val="24"/>
          <w:lang w:val="ro-MD" w:eastAsia="ru-RU"/>
        </w:rPr>
        <w:t>investiţiilor</w:t>
      </w:r>
      <w:proofErr w:type="spellEnd"/>
      <w:r w:rsidRPr="00D00590">
        <w:rPr>
          <w:sz w:val="24"/>
          <w:szCs w:val="24"/>
          <w:lang w:val="ro-MD" w:eastAsia="ru-RU"/>
        </w:rPr>
        <w:t xml:space="preserve"> va fi realizată de către Furnizor în conformitate cu prevederile Regulamentul</w:t>
      </w:r>
      <w:r w:rsidR="00EF1DE5" w:rsidRPr="00231B67">
        <w:rPr>
          <w:sz w:val="24"/>
          <w:szCs w:val="24"/>
          <w:lang w:val="ro-MD" w:eastAsia="ru-RU"/>
        </w:rPr>
        <w:t>ui</w:t>
      </w:r>
      <w:r w:rsidRPr="00D00590">
        <w:rPr>
          <w:sz w:val="24"/>
          <w:szCs w:val="24"/>
          <w:lang w:val="ro-MD" w:eastAsia="ru-RU"/>
        </w:rPr>
        <w:t xml:space="preserve"> privind planificarea, aprobarea </w:t>
      </w:r>
      <w:proofErr w:type="spellStart"/>
      <w:r w:rsidRPr="00D00590">
        <w:rPr>
          <w:sz w:val="24"/>
          <w:szCs w:val="24"/>
          <w:lang w:val="ro-MD" w:eastAsia="ru-RU"/>
        </w:rPr>
        <w:t>şi</w:t>
      </w:r>
      <w:proofErr w:type="spellEnd"/>
      <w:r w:rsidRPr="00D00590">
        <w:rPr>
          <w:sz w:val="24"/>
          <w:szCs w:val="24"/>
          <w:lang w:val="ro-MD" w:eastAsia="ru-RU"/>
        </w:rPr>
        <w:t xml:space="preserve"> efectuarea </w:t>
      </w:r>
      <w:proofErr w:type="spellStart"/>
      <w:r w:rsidRPr="00D00590">
        <w:rPr>
          <w:sz w:val="24"/>
          <w:szCs w:val="24"/>
          <w:lang w:val="ro-MD" w:eastAsia="ru-RU"/>
        </w:rPr>
        <w:t>investiţiilor</w:t>
      </w:r>
      <w:proofErr w:type="spellEnd"/>
      <w:r w:rsidRPr="00D00590">
        <w:rPr>
          <w:sz w:val="24"/>
          <w:szCs w:val="24"/>
          <w:lang w:val="ro-MD" w:eastAsia="ru-RU"/>
        </w:rPr>
        <w:t xml:space="preserve">, aprobat prin </w:t>
      </w:r>
      <w:r w:rsidRPr="00D00590">
        <w:rPr>
          <w:color w:val="0000FF"/>
          <w:sz w:val="24"/>
          <w:szCs w:val="24"/>
          <w:u w:val="single"/>
          <w:lang w:val="ro-MD" w:eastAsia="ru-RU"/>
        </w:rPr>
        <w:t xml:space="preserve">Hotărârea Consiliului de </w:t>
      </w:r>
      <w:proofErr w:type="spellStart"/>
      <w:r w:rsidRPr="00D00590">
        <w:rPr>
          <w:color w:val="0000FF"/>
          <w:sz w:val="24"/>
          <w:szCs w:val="24"/>
          <w:u w:val="single"/>
          <w:lang w:val="ro-MD" w:eastAsia="ru-RU"/>
        </w:rPr>
        <w:t>administraţie</w:t>
      </w:r>
      <w:proofErr w:type="spellEnd"/>
      <w:r w:rsidRPr="00D00590">
        <w:rPr>
          <w:color w:val="0000FF"/>
          <w:sz w:val="24"/>
          <w:szCs w:val="24"/>
          <w:u w:val="single"/>
          <w:lang w:val="ro-MD" w:eastAsia="ru-RU"/>
        </w:rPr>
        <w:t xml:space="preserve"> al </w:t>
      </w:r>
      <w:proofErr w:type="spellStart"/>
      <w:r w:rsidRPr="00D00590">
        <w:rPr>
          <w:color w:val="0000FF"/>
          <w:sz w:val="24"/>
          <w:szCs w:val="24"/>
          <w:u w:val="single"/>
          <w:lang w:val="ro-MD" w:eastAsia="ru-RU"/>
        </w:rPr>
        <w:t>Agenţiei</w:t>
      </w:r>
      <w:proofErr w:type="spellEnd"/>
      <w:r w:rsidRPr="00D00590">
        <w:rPr>
          <w:color w:val="0000FF"/>
          <w:sz w:val="24"/>
          <w:szCs w:val="24"/>
          <w:u w:val="single"/>
          <w:lang w:val="ro-MD" w:eastAsia="ru-RU"/>
        </w:rPr>
        <w:t xml:space="preserve"> nr.</w:t>
      </w:r>
      <w:r w:rsidR="00012605" w:rsidRPr="00231B67">
        <w:rPr>
          <w:color w:val="0000FF"/>
          <w:sz w:val="24"/>
          <w:szCs w:val="24"/>
          <w:u w:val="single"/>
          <w:lang w:val="ro-MD" w:eastAsia="ru-RU"/>
        </w:rPr>
        <w:t xml:space="preserve"> </w:t>
      </w:r>
      <w:r w:rsidRPr="00D00590">
        <w:rPr>
          <w:color w:val="0000FF"/>
          <w:sz w:val="24"/>
          <w:szCs w:val="24"/>
          <w:u w:val="single"/>
          <w:lang w:val="ro-MD" w:eastAsia="ru-RU"/>
        </w:rPr>
        <w:t>283/2016</w:t>
      </w:r>
      <w:r w:rsidRPr="00D00590">
        <w:rPr>
          <w:sz w:val="24"/>
          <w:szCs w:val="24"/>
          <w:lang w:val="ro-MD" w:eastAsia="ru-RU"/>
        </w:rPr>
        <w:t>.</w:t>
      </w:r>
    </w:p>
    <w:p w14:paraId="0DBFC54F" w14:textId="77777777" w:rsidR="00907ED4" w:rsidRPr="00D00590" w:rsidRDefault="00907ED4" w:rsidP="00907ED4">
      <w:pPr>
        <w:pStyle w:val="a7"/>
        <w:ind w:left="567"/>
        <w:jc w:val="both"/>
        <w:rPr>
          <w:sz w:val="24"/>
          <w:szCs w:val="24"/>
          <w:lang w:val="ro-MD" w:eastAsia="ru-RU"/>
        </w:rPr>
      </w:pPr>
    </w:p>
    <w:p w14:paraId="34DC10DE" w14:textId="77777777" w:rsidR="00642A65" w:rsidRPr="00231B67" w:rsidRDefault="00C438BD" w:rsidP="0064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w:proofErr w:type="spellStart"/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5</w:t>
      </w:r>
    </w:p>
    <w:p w14:paraId="797FE45E" w14:textId="77777777" w:rsidR="00C438BD" w:rsidRPr="00231B67" w:rsidRDefault="00642A65" w:rsidP="00FC01B7">
      <w:pPr>
        <w:spacing w:after="120" w:line="240" w:lineRule="auto"/>
        <w:ind w:firstLine="562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Calcularea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 pentru furnizarea energiei electrice de către furnizorul de ultimă opțiune</w:t>
      </w:r>
    </w:p>
    <w:p w14:paraId="3A68F48B" w14:textId="501384FB" w:rsidR="00BC13E8" w:rsidRPr="00907ED4" w:rsidRDefault="00BC13E8" w:rsidP="00907ED4">
      <w:pPr>
        <w:pStyle w:val="a7"/>
        <w:numPr>
          <w:ilvl w:val="0"/>
          <w:numId w:val="2"/>
        </w:numPr>
        <w:spacing w:after="60"/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907ED4">
        <w:rPr>
          <w:sz w:val="24"/>
          <w:szCs w:val="24"/>
          <w:lang w:val="ro-MD" w:eastAsia="ru-RU"/>
        </w:rPr>
        <w:t>Preţul</w:t>
      </w:r>
      <w:proofErr w:type="spellEnd"/>
      <w:r w:rsidRPr="00907ED4">
        <w:rPr>
          <w:sz w:val="24"/>
          <w:szCs w:val="24"/>
          <w:lang w:val="ro-MD" w:eastAsia="ru-RU"/>
        </w:rPr>
        <w:t xml:space="preserve"> reglementat </w:t>
      </w:r>
      <w:r w:rsidR="00D20E80" w:rsidRPr="00907ED4">
        <w:rPr>
          <w:sz w:val="24"/>
          <w:szCs w:val="24"/>
          <w:lang w:val="ro-MD" w:eastAsia="ru-RU"/>
        </w:rPr>
        <w:t xml:space="preserve">de tip monom </w:t>
      </w:r>
      <w:r w:rsidRPr="00907ED4">
        <w:rPr>
          <w:sz w:val="24"/>
          <w:szCs w:val="24"/>
          <w:lang w:val="ro-MD" w:eastAsia="ru-RU"/>
        </w:rPr>
        <w:t xml:space="preserve">pentru furnizarea energiei electrice </w:t>
      </w:r>
      <w:r w:rsidR="00D20E80" w:rsidRPr="00907ED4">
        <w:rPr>
          <w:sz w:val="24"/>
          <w:szCs w:val="24"/>
          <w:lang w:val="ro-MD" w:eastAsia="ru-RU"/>
        </w:rPr>
        <w:t xml:space="preserve">de către furnizorul de ultimă opțiune în </w:t>
      </w:r>
      <w:r w:rsidR="008323A4" w:rsidRPr="00907ED4">
        <w:rPr>
          <w:sz w:val="24"/>
          <w:szCs w:val="24"/>
          <w:lang w:val="ro-MD" w:eastAsia="ru-RU"/>
        </w:rPr>
        <w:t>trimestrul</w:t>
      </w:r>
      <w:r w:rsidR="008D448E" w:rsidRPr="00907ED4">
        <w:rPr>
          <w:sz w:val="24"/>
          <w:szCs w:val="24"/>
          <w:lang w:val="ro-MD" w:eastAsia="ru-RU"/>
        </w:rPr>
        <w:t xml:space="preserve"> </w:t>
      </w:r>
      <w:r w:rsidR="00D20E80" w:rsidRPr="00907ED4">
        <w:rPr>
          <w:sz w:val="24"/>
          <w:szCs w:val="24"/>
          <w:lang w:val="ro-MD" w:eastAsia="ru-RU"/>
        </w:rPr>
        <w:t>,,</w:t>
      </w:r>
      <w:r w:rsidR="00571F04" w:rsidRPr="00907ED4">
        <w:rPr>
          <w:i/>
          <w:sz w:val="24"/>
          <w:szCs w:val="24"/>
          <w:lang w:val="ro-MD" w:eastAsia="ru-RU"/>
        </w:rPr>
        <w:t>t</w:t>
      </w:r>
      <w:r w:rsidR="00D20E80" w:rsidRPr="00907ED4">
        <w:rPr>
          <w:sz w:val="24"/>
          <w:szCs w:val="24"/>
          <w:lang w:val="ro-MD" w:eastAsia="ru-RU"/>
        </w:rPr>
        <w:t>” (</w:t>
      </w:r>
      <w:proofErr w:type="spellStart"/>
      <w:r w:rsidR="00D20E80" w:rsidRPr="00907ED4">
        <w:rPr>
          <w:i/>
          <w:sz w:val="24"/>
          <w:szCs w:val="24"/>
          <w:lang w:val="ro-MD" w:eastAsia="ru-RU"/>
        </w:rPr>
        <w:t>P</w:t>
      </w:r>
      <w:r w:rsidR="008323A4" w:rsidRPr="00907ED4">
        <w:rPr>
          <w:i/>
          <w:sz w:val="24"/>
          <w:szCs w:val="24"/>
          <w:vertAlign w:val="subscript"/>
          <w:lang w:val="ro-MD" w:eastAsia="ru-RU"/>
        </w:rPr>
        <w:t>F</w:t>
      </w:r>
      <w:r w:rsidR="00D20E80" w:rsidRPr="00907ED4">
        <w:rPr>
          <w:i/>
          <w:sz w:val="24"/>
          <w:szCs w:val="24"/>
          <w:vertAlign w:val="subscript"/>
          <w:lang w:val="ro-MD" w:eastAsia="ru-RU"/>
        </w:rPr>
        <w:t>UO</w:t>
      </w:r>
      <w:r w:rsidR="00571F04" w:rsidRPr="00907ED4">
        <w:rPr>
          <w:i/>
          <w:sz w:val="24"/>
          <w:szCs w:val="24"/>
          <w:vertAlign w:val="subscript"/>
          <w:lang w:val="ro-MD" w:eastAsia="ru-RU"/>
        </w:rPr>
        <w:t>t</w:t>
      </w:r>
      <w:proofErr w:type="spellEnd"/>
      <w:r w:rsidR="00D20E80" w:rsidRPr="00907ED4">
        <w:rPr>
          <w:sz w:val="24"/>
          <w:szCs w:val="24"/>
          <w:lang w:val="ro-MD" w:eastAsia="ru-RU"/>
        </w:rPr>
        <w:t>)</w:t>
      </w:r>
      <w:r w:rsidR="00D20E80" w:rsidRPr="00907ED4">
        <w:rPr>
          <w:sz w:val="24"/>
          <w:szCs w:val="24"/>
          <w:vertAlign w:val="subscript"/>
          <w:lang w:val="ro-MD" w:eastAsia="ru-RU"/>
        </w:rPr>
        <w:t xml:space="preserve"> </w:t>
      </w:r>
      <w:r w:rsidRPr="00907ED4">
        <w:rPr>
          <w:sz w:val="24"/>
          <w:szCs w:val="24"/>
          <w:lang w:val="ro-MD" w:eastAsia="ru-RU"/>
        </w:rPr>
        <w:t xml:space="preserve">reflectă </w:t>
      </w:r>
      <w:r w:rsidR="00D20E80" w:rsidRPr="00907ED4">
        <w:rPr>
          <w:sz w:val="24"/>
          <w:szCs w:val="24"/>
          <w:lang w:val="ro-MD" w:eastAsia="ru-RU"/>
        </w:rPr>
        <w:t>costurile</w:t>
      </w:r>
      <w:r w:rsidRPr="00907ED4">
        <w:rPr>
          <w:sz w:val="24"/>
          <w:szCs w:val="24"/>
          <w:lang w:val="ro-MD" w:eastAsia="ru-RU"/>
        </w:rPr>
        <w:t xml:space="preserve"> Furnizorului raportate la un kWh (lei/kWh)</w:t>
      </w:r>
      <w:r w:rsidR="008323A4" w:rsidRPr="00907ED4">
        <w:rPr>
          <w:sz w:val="24"/>
          <w:szCs w:val="24"/>
          <w:lang w:val="ro-MD" w:eastAsia="ru-RU"/>
        </w:rPr>
        <w:t>,</w:t>
      </w:r>
      <w:r w:rsidR="00D20E80" w:rsidRPr="00907ED4">
        <w:rPr>
          <w:sz w:val="24"/>
          <w:szCs w:val="24"/>
          <w:lang w:val="ro-MD" w:eastAsia="ru-RU"/>
        </w:rPr>
        <w:t xml:space="preserve"> ș</w:t>
      </w:r>
      <w:r w:rsidR="00CF0CE0" w:rsidRPr="00231B67">
        <w:rPr>
          <w:sz w:val="24"/>
          <w:szCs w:val="24"/>
          <w:lang w:val="ro-MD" w:eastAsia="ru-RU"/>
        </w:rPr>
        <w:t>i</w:t>
      </w:r>
      <w:r w:rsidRPr="00907ED4">
        <w:rPr>
          <w:sz w:val="24"/>
          <w:szCs w:val="24"/>
          <w:lang w:val="ro-MD" w:eastAsia="ru-RU"/>
        </w:rPr>
        <w:t xml:space="preserve"> se determină</w:t>
      </w:r>
      <w:r w:rsidR="00CF0CE0" w:rsidRPr="00231B67">
        <w:rPr>
          <w:sz w:val="24"/>
          <w:szCs w:val="24"/>
          <w:lang w:val="ro-MD" w:eastAsia="ru-RU"/>
        </w:rPr>
        <w:t xml:space="preserve"> după cum urmează</w:t>
      </w:r>
      <w:r w:rsidRPr="00907ED4">
        <w:rPr>
          <w:sz w:val="24"/>
          <w:szCs w:val="24"/>
          <w:lang w:val="ro-MD" w:eastAsia="ru-RU"/>
        </w:rPr>
        <w:t>:</w:t>
      </w:r>
    </w:p>
    <w:p w14:paraId="677A3EDA" w14:textId="245115D0" w:rsidR="00BC13E8" w:rsidRPr="00231B67" w:rsidRDefault="00907ED4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23.1.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la punctele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ieşire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 (consumatorilor finali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755D8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755D8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transport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): </w:t>
      </w:r>
    </w:p>
    <w:p w14:paraId="57CA208A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1CE1B8B" w14:textId="2D6730DC" w:rsidR="00831204" w:rsidRPr="00907ED4" w:rsidRDefault="009361AC" w:rsidP="00FC0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ET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</m:t>
          </m:r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(28)</m:t>
          </m:r>
        </m:oMath>
      </m:oMathPara>
    </w:p>
    <w:p w14:paraId="7744928F" w14:textId="4D5E21FC" w:rsidR="00BC13E8" w:rsidRPr="00907ED4" w:rsidRDefault="00BC13E8" w:rsidP="00FC01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07ED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/>
            <w:lang w:val="ro-MD"/>
          </w:rPr>
          <w:br/>
        </m:r>
      </m:oMath>
      <w:r w:rsidRPr="00907ED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F4AAF5E" w14:textId="77777777" w:rsidR="00114379" w:rsidRPr="00907ED4" w:rsidRDefault="00114379" w:rsidP="00FC01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1CB764F9" w14:textId="61AF8645" w:rsidR="00571F04" w:rsidRPr="00231B67" w:rsidRDefault="00FF25E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 w:eastAsia="ro-RO"/>
        </w:rPr>
        <w:t>PE</w:t>
      </w:r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ro-MD" w:eastAsia="ro-RO"/>
        </w:rPr>
        <w:t>FUOt</w:t>
      </w:r>
      <w:proofErr w:type="spellEnd"/>
      <w:r w:rsidRPr="00231B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–</w:t>
      </w:r>
      <w:r w:rsidRPr="00231B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prețul </w:t>
      </w:r>
      <w:r w:rsidR="00C87ED7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mediu 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de procurare a energiei electrice</w:t>
      </w:r>
      <w:r w:rsidR="00C87ED7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pe piața la termen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, stabilit conform prognozei pentru trimestrul ,,</w:t>
      </w:r>
      <w:r w:rsidRPr="00231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MD" w:eastAsia="ro-RO"/>
        </w:rPr>
        <w:t>t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” publicată pe </w:t>
      </w:r>
      <w:r w:rsidR="00C87ED7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pagina electronică a OPCOM</w:t>
      </w:r>
      <w:r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(</w:t>
      </w:r>
      <w:hyperlink r:id="rId10" w:history="1">
        <w:r w:rsidR="006074CF" w:rsidRPr="00231B6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ro-MD" w:eastAsia="ro-RO"/>
          </w:rPr>
          <w:t>https://www.opcom.ro/acasa/ro</w:t>
        </w:r>
      </w:hyperlink>
      <w:r w:rsidR="00174A50" w:rsidRPr="00231B67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);</w:t>
      </w:r>
    </w:p>
    <w:p w14:paraId="3CCAD4A2" w14:textId="7EDD5A10" w:rsidR="006074CF" w:rsidRPr="00231B67" w:rsidRDefault="006074CF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TOP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- 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tariful reglementat pentru serviciul de operare a pieței energiei electrice, prestat Furnizorului de către operatorul </w:t>
      </w:r>
      <w:r w:rsidR="00CF0CE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pieţei energiei electrice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în trimestrul „t”, lei/MWh, calculat de operatorul </w:t>
      </w:r>
      <w:r w:rsidR="0078714A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pieţei energiei el</w:t>
      </w:r>
      <w:r w:rsidR="00CF0CE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ectrice</w:t>
      </w:r>
      <w:r w:rsidR="00FC64F0" w:rsidRPr="00231B67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și aprobat de Agenție în conformitate cu prevederile Metodologiei de calculare, aprobare și aplicare a tarifului reglementat pentru serviciul de operare a pieței energiei electrice (aprobat prin Hotărârea Consiliului de administrație al Agenției nr. 395/2019).</w:t>
      </w:r>
    </w:p>
    <w:p w14:paraId="42A97169" w14:textId="6B02262A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TT</w:t>
      </w:r>
      <w:r w:rsidR="00571F04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reglementat pentru serviciul de transport al energiei electrice, prestat Furnizorului de către operatorul sistemului de transport în</w:t>
      </w:r>
      <w:r w:rsidR="00571F0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trimestrul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„</w:t>
      </w:r>
      <w:r w:rsidR="00571F04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”, lei/kWh. </w:t>
      </w:r>
    </w:p>
    <w:p w14:paraId="79709186" w14:textId="248E0F5D" w:rsidR="00BC13E8" w:rsidRPr="00231B67" w:rsidRDefault="00571F04" w:rsidP="00FC01B7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907ED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3.2.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energia electrică furnizată în trimestrul </w:t>
      </w:r>
      <w:r w:rsidR="00C427F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,,</w:t>
      </w:r>
      <w:r w:rsidR="00C427FD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C427F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finali, ale căror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înaltă (TI):</w:t>
      </w:r>
    </w:p>
    <w:p w14:paraId="6FA06D6B" w14:textId="5C3B928E" w:rsidR="00114379" w:rsidRPr="00231B67" w:rsidRDefault="00BC13E8" w:rsidP="001143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ro-MD" w:eastAsia="ru-RU"/>
          </w:rPr>
          <w:br/>
        </m:r>
      </m:oMath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TÎ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tît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(29)</m:t>
          </m:r>
        </m:oMath>
      </m:oMathPara>
    </w:p>
    <w:p w14:paraId="7F863048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9F72B39" w14:textId="7921212D" w:rsidR="00BC13E8" w:rsidRPr="00231B67" w:rsidRDefault="000D2A6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nde:</w:t>
      </w:r>
    </w:p>
    <w:p w14:paraId="0702C3DF" w14:textId="77777777" w:rsidR="00114379" w:rsidRPr="00231B67" w:rsidRDefault="00114379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A42074A" w14:textId="39C543CF" w:rsidR="00BC13E8" w:rsidRPr="00231B67" w:rsidRDefault="000D2A6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 w:eastAsia="ro-RO"/>
        </w:rPr>
        <w:t>TD</w:t>
      </w:r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ro-MD" w:eastAsia="ro-RO"/>
        </w:rPr>
        <w:t>tît</w:t>
      </w:r>
      <w:proofErr w:type="spellEnd"/>
      <w:r w:rsidRPr="00231B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o-RO"/>
        </w:rPr>
        <w:t xml:space="preserve">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 calculat la 1 kWh şi prestat Furnizorului în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operatorul sistemului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înaltă tensiune, lei/kWh, aprobat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conformitate cu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521E9D10" w14:textId="3C103635" w:rsidR="00BC13E8" w:rsidRPr="00231B67" w:rsidRDefault="00907ED4" w:rsidP="00FC01B7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0D2A60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.3.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="001742AD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finali,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medie (TM):</w:t>
      </w:r>
    </w:p>
    <w:p w14:paraId="3C698FD1" w14:textId="2DF20AAF" w:rsidR="00114379" w:rsidRPr="00231B67" w:rsidRDefault="009361AC" w:rsidP="00FC0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TM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tmt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(30)</m:t>
          </m:r>
        </m:oMath>
      </m:oMathPara>
    </w:p>
    <w:p w14:paraId="6D885778" w14:textId="4D0176A7" w:rsidR="00BC13E8" w:rsidRPr="00231B67" w:rsidRDefault="00BC13E8" w:rsidP="00FC01B7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4C31B43E" w14:textId="77777777" w:rsidR="00114379" w:rsidRPr="00231B67" w:rsidRDefault="00114379" w:rsidP="00FC01B7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2909899" w14:textId="4C7F1B56" w:rsidR="00BC13E8" w:rsidRPr="00231B67" w:rsidRDefault="000D2A60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MD" w:eastAsia="ro-RO"/>
        </w:rPr>
        <w:lastRenderedPageBreak/>
        <w:t>TD</w:t>
      </w:r>
      <w:r w:rsidRPr="00231B6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val="ro-MD" w:eastAsia="ro-RO"/>
        </w:rPr>
        <w:t>tmt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per 1 kWh şi prestat Furnizorului în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operatorul sistemului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medie tensiune, lei/kWh.</w:t>
      </w:r>
    </w:p>
    <w:p w14:paraId="203ADEC1" w14:textId="576AF597" w:rsidR="00BC13E8" w:rsidRPr="00231B67" w:rsidRDefault="00907ED4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23.4.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energia electrică furnizată în 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="001742AD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742AD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consumatorilor finali,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ale cărora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tensiune joasă (TJ):</w:t>
      </w:r>
    </w:p>
    <w:p w14:paraId="0D805C4C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4A08E224" w14:textId="6C61DE93" w:rsidR="00F712CE" w:rsidRPr="00231B67" w:rsidRDefault="009361AC" w:rsidP="001742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</m:t>
              </m:r>
            </m:sub>
            <m: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TJ</m:t>
              </m:r>
            </m:sup>
          </m:sSubSup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TD</m:t>
              </m:r>
            </m:e>
            <m: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ro-MD" w:eastAsia="ru-RU"/>
                </w:rPr>
                <m:t>tjt</m:t>
              </m:r>
            </m:sub>
          </m:sSub>
          <m:r>
            <w:rPr>
              <w:rFonts w:ascii="Cambria Math" w:eastAsia="Times New Roman" w:hAnsi="Cambria Math" w:cs="Times New Roman"/>
              <w:sz w:val="26"/>
              <w:szCs w:val="26"/>
              <w:lang w:val="ro-MD" w:eastAsia="ru-RU"/>
            </w:rPr>
            <m:t xml:space="preserve"> (31)</m:t>
          </m:r>
        </m:oMath>
      </m:oMathPara>
    </w:p>
    <w:p w14:paraId="06EC004F" w14:textId="77777777" w:rsidR="00BC13E8" w:rsidRPr="00231B67" w:rsidRDefault="00BC13E8" w:rsidP="00BC1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6D47CFD" w14:textId="7D167CE4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unde:</w:t>
      </w:r>
    </w:p>
    <w:p w14:paraId="62C23DB2" w14:textId="77777777" w:rsidR="00D330BA" w:rsidRPr="00231B67" w:rsidRDefault="00D330BA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0CBC8C8" w14:textId="43488962" w:rsidR="00BC13E8" w:rsidRPr="00231B67" w:rsidRDefault="001742AD" w:rsidP="00FC01B7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o-MD" w:eastAsia="ro-RO"/>
        </w:rPr>
        <w:t>TD</w:t>
      </w:r>
      <w:r w:rsidRPr="00231B67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bscript"/>
          <w:lang w:val="ro-MD" w:eastAsia="ro-RO"/>
        </w:rPr>
        <w:t>tjt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tariful reglementat pentru serviciul de distribuţie a energiei electrice, calculat la 1 kWh şi prestat Furnizorului în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,,</w:t>
      </w:r>
      <w:r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operatorul sistemului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prin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joasă tensiune, lei/kWh. </w:t>
      </w:r>
    </w:p>
    <w:p w14:paraId="64E27672" w14:textId="37BE5730" w:rsidR="00BC13E8" w:rsidRPr="00D82079" w:rsidRDefault="00BC13E8" w:rsidP="00D82079">
      <w:pPr>
        <w:pStyle w:val="a7"/>
        <w:numPr>
          <w:ilvl w:val="0"/>
          <w:numId w:val="2"/>
        </w:numPr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În cazul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de tip binom costurile Furnizorului se divizează între două componente tarifare:</w:t>
      </w:r>
    </w:p>
    <w:p w14:paraId="5EE6F2CA" w14:textId="4583686C" w:rsidR="00BC13E8" w:rsidRPr="00D82079" w:rsidRDefault="00D82079" w:rsidP="00D82079">
      <w:pPr>
        <w:pStyle w:val="a7"/>
        <w:numPr>
          <w:ilvl w:val="0"/>
          <w:numId w:val="15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proofErr w:type="spellStart"/>
      <w:r w:rsidR="00BC13E8" w:rsidRPr="00D82079">
        <w:rPr>
          <w:sz w:val="24"/>
          <w:szCs w:val="24"/>
          <w:lang w:val="ro-MD" w:eastAsia="ru-RU"/>
        </w:rPr>
        <w:t>preţ</w:t>
      </w:r>
      <w:proofErr w:type="spellEnd"/>
      <w:r w:rsidR="00BC13E8" w:rsidRPr="00D82079">
        <w:rPr>
          <w:sz w:val="24"/>
          <w:szCs w:val="24"/>
          <w:lang w:val="ro-MD" w:eastAsia="ru-RU"/>
        </w:rPr>
        <w:t xml:space="preserve"> reglementat pentru cantitatea de energie electrică furnizată, lei/kWh;</w:t>
      </w:r>
    </w:p>
    <w:p w14:paraId="5CFD277E" w14:textId="5D49CB14" w:rsidR="00BC13E8" w:rsidRPr="00D82079" w:rsidRDefault="00D82079" w:rsidP="00D82079">
      <w:pPr>
        <w:pStyle w:val="a7"/>
        <w:numPr>
          <w:ilvl w:val="0"/>
          <w:numId w:val="15"/>
        </w:numPr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 </w:t>
      </w:r>
      <w:r w:rsidR="00BC13E8" w:rsidRPr="00D82079">
        <w:rPr>
          <w:sz w:val="24"/>
          <w:szCs w:val="24"/>
          <w:lang w:val="ro-MD" w:eastAsia="ru-RU"/>
        </w:rPr>
        <w:t>tarif pentru puterea electrică contractată, lei/kW.</w:t>
      </w:r>
    </w:p>
    <w:p w14:paraId="76E0ED21" w14:textId="314593FA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acest caz, veniturile Furnizorului de la furnizarea energiei electrice consumatorilor finali prin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VF</w:t>
      </w:r>
      <w:r w:rsidR="00007303"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)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respectiv, plata necesară de a fi achitată pentru energia electrică furnizată în </w:t>
      </w:r>
      <w:r w:rsidR="00007303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„</w:t>
      </w:r>
      <w:r w:rsidR="00007303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PAC</w:t>
      </w:r>
      <w:r w:rsidR="00007303"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sz w:val="24"/>
          <w:szCs w:val="24"/>
          <w:vertAlign w:val="subscript"/>
          <w:lang w:val="ro-MD" w:eastAsia="ru-RU"/>
        </w:rPr>
        <w:t>d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), se vor determina luând în considerare  energia electrică furnizată (consumată) precum şi puterea contractată de către consumatorii finali, conform formulei:</w:t>
      </w:r>
    </w:p>
    <w:p w14:paraId="2DF5FB75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6E433376" w14:textId="4089BACF" w:rsidR="00193ED0" w:rsidRPr="00231B67" w:rsidRDefault="009361AC" w:rsidP="00BC1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VF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PAC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EFC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td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FUOt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ET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TBE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tk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D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D" w:eastAsia="ru-RU"/>
                    </w:rPr>
                    <m:t>tk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 xml:space="preserve"> (32)</m:t>
              </m:r>
            </m:e>
          </m:nary>
        </m:oMath>
      </m:oMathPara>
    </w:p>
    <w:p w14:paraId="6B15862D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14:paraId="33C95ADE" w14:textId="6966AF93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unde:</w:t>
      </w:r>
    </w:p>
    <w:p w14:paraId="236A7D3C" w14:textId="77777777" w:rsidR="00E80693" w:rsidRPr="00231B67" w:rsidRDefault="00E80693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4EAFCD7D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EFC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d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cantitatea de energie electrică furnizată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consumatorilor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(„TÎ”, „TM”, „TJ”), kWh;</w:t>
      </w:r>
    </w:p>
    <w:p w14:paraId="496B2241" w14:textId="4C9C626C" w:rsidR="00BC13E8" w:rsidRPr="00231B67" w:rsidRDefault="009361AC" w:rsidP="001059BC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MD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FUOt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o-MD" w:eastAsia="ru-RU"/>
              </w:rPr>
              <m:t>ET</m:t>
            </m:r>
          </m:sup>
        </m:sSubSup>
      </m:oMath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preţul reglementat pentru energia electrică furnizată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</w:t>
      </w:r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consumatorilor finali ale căror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lei/kWh. Acest </w:t>
      </w:r>
      <w:proofErr w:type="spellStart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preţ</w:t>
      </w:r>
      <w:proofErr w:type="spellEnd"/>
      <w:r w:rsidR="00BC13E8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determină conform formulei:</w:t>
      </w:r>
    </w:p>
    <w:p w14:paraId="7603257D" w14:textId="1C45EAB8" w:rsidR="008857F1" w:rsidRPr="00231B67" w:rsidRDefault="009361AC" w:rsidP="00AF1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FUOt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ET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PE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FUOt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>×1,1+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t</m:t>
              </m:r>
            </m:sub>
          </m:sSub>
          <m:r>
            <w:rPr>
              <w:rFonts w:ascii="Cambria Math" w:eastAsia="Times New Roman" w:hAnsi="Cambria Math"/>
              <w:sz w:val="20"/>
              <w:szCs w:val="20"/>
              <w:lang w:val="ro-MD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lang w:val="ro-MD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ro-MD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TOP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ro-MD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lang w:val="ro-MD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 w:eastAsia="ru-RU"/>
            </w:rPr>
            <m:t xml:space="preserve"> (33)</m:t>
          </m:r>
        </m:oMath>
      </m:oMathPara>
    </w:p>
    <w:p w14:paraId="69986DEE" w14:textId="77777777" w:rsidR="00BC13E8" w:rsidRPr="00231B67" w:rsidRDefault="00BC13E8" w:rsidP="00BC13E8">
      <w:pPr>
        <w:spacing w:before="120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PC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– puterea contractată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către consumatorii finali ale căror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instalaţii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sunt racordate la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corespunzător nivelului „k” de tensiune, kW;</w:t>
      </w:r>
    </w:p>
    <w:p w14:paraId="17BE28FE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TP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k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– tariful în 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trimestrul „</w:t>
      </w:r>
      <w:r w:rsidR="001059BC" w:rsidRPr="00231B67"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  <w:t>t</w:t>
      </w:r>
      <w:r w:rsidR="001059BC"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”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puterea electrică contractată aferentă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cu nivelul „k” de tensiune, lei/kW. </w:t>
      </w:r>
    </w:p>
    <w:p w14:paraId="75375077" w14:textId="77777777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TBE</w:t>
      </w:r>
      <w:r w:rsidR="001059BC"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t</w:t>
      </w:r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o-MD" w:eastAsia="ru-RU"/>
        </w:rPr>
        <w:t>k</w:t>
      </w:r>
      <w:proofErr w:type="spellEnd"/>
      <w:r w:rsidRPr="00231B67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 -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tariful pentru cantitatea de energie electrică distribuită din componența tarifului binom pentru serviciul de distribuţie a energiei electrice prestat de OSD prin </w:t>
      </w:r>
      <w:proofErr w:type="spellStart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reţelele</w:t>
      </w:r>
      <w:proofErr w:type="spellEnd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nivelul „k” de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tensiune, lei/kWh.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14:paraId="6616EE46" w14:textId="5FC740AD" w:rsidR="00BC13E8" w:rsidRPr="00231B67" w:rsidRDefault="00BC13E8" w:rsidP="00BC1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Tarifele pentru puterea electrică contractată și </w:t>
      </w:r>
      <w:r w:rsidRPr="00231B67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tarifele pentru cantitatea de energie electrică distribuită din componența tarifului binom pentru serviciul de distribuţie a energiei electrice prestat de OSD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se determină în conformitate cu Metodologia de calculare, aprobare şi ajustare a tarifelor pentru serviciul de distribuţie a energiei electrice şi se aprobă de către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Agenţie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modul stabilit de </w:t>
      </w:r>
      <w:r w:rsidR="00F4522E" w:rsidRPr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Legea nr. 164/2025 cu privire la energia electrică</w:t>
      </w:r>
      <w:r w:rsidR="00F4522E" w:rsidRPr="00F4522E" w:rsidDel="00F45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lei/kW/lună pentru fiecare nivel de tensiune a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reţelelor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electrice de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distribuţie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(„TÎ”, „TM” şi „TJ”)</w:t>
      </w:r>
      <w:r w:rsidR="0091376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127A5300" w14:textId="7AF8EF9D" w:rsidR="00C438BD" w:rsidRPr="00231B67" w:rsidRDefault="00C438BD" w:rsidP="00D820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Secţiunea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="00642A65"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6</w:t>
      </w:r>
    </w:p>
    <w:p w14:paraId="79CED095" w14:textId="77777777" w:rsidR="00C438BD" w:rsidRPr="00231B67" w:rsidRDefault="00C438BD" w:rsidP="00C4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lastRenderedPageBreak/>
        <w:t xml:space="preserve">Aprobarea, actualizarea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şi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aplicarea </w:t>
      </w:r>
      <w:proofErr w:type="spellStart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preţurilor</w:t>
      </w:r>
      <w:proofErr w:type="spellEnd"/>
      <w:r w:rsidRPr="00231B6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reglementate</w:t>
      </w:r>
    </w:p>
    <w:p w14:paraId="0E24DD11" w14:textId="7E2D5D46" w:rsidR="00C438BD" w:rsidRPr="00D82079" w:rsidRDefault="00C438BD" w:rsidP="00D82079">
      <w:pPr>
        <w:pStyle w:val="a7"/>
        <w:numPr>
          <w:ilvl w:val="0"/>
          <w:numId w:val="2"/>
        </w:numPr>
        <w:spacing w:before="240"/>
        <w:ind w:left="0" w:firstLine="567"/>
        <w:jc w:val="both"/>
        <w:rPr>
          <w:sz w:val="24"/>
          <w:szCs w:val="24"/>
          <w:lang w:val="ro-MD" w:eastAsia="ru-RU"/>
        </w:rPr>
      </w:pPr>
      <w:proofErr w:type="spellStart"/>
      <w:r w:rsidRPr="00D82079">
        <w:rPr>
          <w:sz w:val="24"/>
          <w:szCs w:val="24"/>
          <w:lang w:val="ro-MD" w:eastAsia="ru-RU"/>
        </w:rPr>
        <w:t>Preţurile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</w:t>
      </w:r>
      <w:r w:rsidR="005115BE" w:rsidRPr="00D82079">
        <w:rPr>
          <w:sz w:val="24"/>
          <w:szCs w:val="24"/>
          <w:lang w:val="ro-MD" w:eastAsia="ru-RU"/>
        </w:rPr>
        <w:t xml:space="preserve">pentru </w:t>
      </w:r>
      <w:r w:rsidRPr="00D82079">
        <w:rPr>
          <w:sz w:val="24"/>
          <w:szCs w:val="24"/>
          <w:lang w:val="ro-MD" w:eastAsia="ru-RU"/>
        </w:rPr>
        <w:t>furnizarea energiei electrice se determină anual de către Furnizori</w:t>
      </w:r>
      <w:r w:rsidR="00BC0315">
        <w:rPr>
          <w:sz w:val="24"/>
          <w:szCs w:val="24"/>
          <w:lang w:val="ro-MD" w:eastAsia="ru-RU"/>
        </w:rPr>
        <w:t>, se examinează</w:t>
      </w:r>
      <w:r w:rsidRPr="00D82079">
        <w:rPr>
          <w:sz w:val="24"/>
          <w:szCs w:val="24"/>
          <w:lang w:val="ro-MD" w:eastAsia="ru-RU"/>
        </w:rPr>
        <w:t xml:space="preserve"> şi se aprobă de către Consiliul de </w:t>
      </w:r>
      <w:proofErr w:type="spellStart"/>
      <w:r w:rsidR="00872726" w:rsidRPr="00231B67">
        <w:rPr>
          <w:sz w:val="24"/>
          <w:szCs w:val="24"/>
          <w:lang w:val="ro-MD" w:eastAsia="ru-RU"/>
        </w:rPr>
        <w:t>a</w:t>
      </w:r>
      <w:r w:rsidRPr="00D82079">
        <w:rPr>
          <w:sz w:val="24"/>
          <w:szCs w:val="24"/>
          <w:lang w:val="ro-MD" w:eastAsia="ru-RU"/>
        </w:rPr>
        <w:t>dministraţie</w:t>
      </w:r>
      <w:proofErr w:type="spellEnd"/>
      <w:r w:rsidRPr="00D82079">
        <w:rPr>
          <w:sz w:val="24"/>
          <w:szCs w:val="24"/>
          <w:lang w:val="ro-MD" w:eastAsia="ru-RU"/>
        </w:rPr>
        <w:t xml:space="preserve"> al </w:t>
      </w:r>
      <w:proofErr w:type="spellStart"/>
      <w:r w:rsidRPr="00D82079">
        <w:rPr>
          <w:sz w:val="24"/>
          <w:szCs w:val="24"/>
          <w:lang w:val="ro-MD" w:eastAsia="ru-RU"/>
        </w:rPr>
        <w:t>Agenţiei</w:t>
      </w:r>
      <w:proofErr w:type="spellEnd"/>
      <w:r w:rsidRPr="00D82079">
        <w:rPr>
          <w:sz w:val="24"/>
          <w:szCs w:val="24"/>
          <w:lang w:val="ro-MD" w:eastAsia="ru-RU"/>
        </w:rPr>
        <w:t xml:space="preserve">, potrivit termenelor şi condiţiilor stabilite în Regulamentul privind procedurile de prezentare şi de examinare a cererilor titularilor de </w:t>
      </w:r>
      <w:proofErr w:type="spellStart"/>
      <w:r w:rsidRPr="00D82079">
        <w:rPr>
          <w:sz w:val="24"/>
          <w:szCs w:val="24"/>
          <w:lang w:val="ro-MD" w:eastAsia="ru-RU"/>
        </w:rPr>
        <w:t>licenţe</w:t>
      </w:r>
      <w:proofErr w:type="spellEnd"/>
      <w:r w:rsidRPr="00D82079">
        <w:rPr>
          <w:sz w:val="24"/>
          <w:szCs w:val="24"/>
          <w:lang w:val="ro-MD" w:eastAsia="ru-RU"/>
        </w:rPr>
        <w:t xml:space="preserve"> privind </w:t>
      </w:r>
      <w:proofErr w:type="spellStart"/>
      <w:r w:rsidRPr="00D82079">
        <w:rPr>
          <w:sz w:val="24"/>
          <w:szCs w:val="24"/>
          <w:lang w:val="ro-MD" w:eastAsia="ru-RU"/>
        </w:rPr>
        <w:t>preţurile</w:t>
      </w:r>
      <w:proofErr w:type="spellEnd"/>
      <w:r w:rsidRPr="00D82079">
        <w:rPr>
          <w:sz w:val="24"/>
          <w:szCs w:val="24"/>
          <w:lang w:val="ro-MD" w:eastAsia="ru-RU"/>
        </w:rPr>
        <w:t xml:space="preserve"> </w:t>
      </w:r>
      <w:proofErr w:type="spellStart"/>
      <w:r w:rsidRPr="00D82079">
        <w:rPr>
          <w:sz w:val="24"/>
          <w:szCs w:val="24"/>
          <w:lang w:val="ro-MD" w:eastAsia="ru-RU"/>
        </w:rPr>
        <w:t>şi</w:t>
      </w:r>
      <w:proofErr w:type="spellEnd"/>
      <w:r w:rsidRPr="00D82079">
        <w:rPr>
          <w:sz w:val="24"/>
          <w:szCs w:val="24"/>
          <w:lang w:val="ro-MD" w:eastAsia="ru-RU"/>
        </w:rPr>
        <w:t xml:space="preserve"> tarifele reglementate</w:t>
      </w:r>
      <w:r w:rsidR="005115BE" w:rsidRPr="00D82079">
        <w:rPr>
          <w:bCs/>
          <w:sz w:val="24"/>
          <w:szCs w:val="24"/>
          <w:lang w:val="ro-MD" w:eastAsia="ru-RU"/>
        </w:rPr>
        <w:t xml:space="preserve">, aprobat prin Hotărârea ANRE </w:t>
      </w:r>
      <w:r w:rsidR="005115BE" w:rsidRPr="00D82079">
        <w:rPr>
          <w:sz w:val="24"/>
          <w:szCs w:val="24"/>
          <w:lang w:val="ro-MD" w:eastAsia="ru-RU"/>
        </w:rPr>
        <w:t>nr. 286/2018   (</w:t>
      </w:r>
      <w:r w:rsidR="005115BE" w:rsidRPr="00D82079">
        <w:rPr>
          <w:sz w:val="24"/>
          <w:szCs w:val="24"/>
          <w:lang w:val="ro-MD"/>
        </w:rPr>
        <w:t>Monitorul Oficial, 2018, nr. 430-439, art.</w:t>
      </w:r>
      <w:r w:rsidR="00872726" w:rsidRPr="00231B67">
        <w:rPr>
          <w:sz w:val="24"/>
          <w:szCs w:val="24"/>
          <w:lang w:val="ro-MD"/>
        </w:rPr>
        <w:t xml:space="preserve"> </w:t>
      </w:r>
      <w:r w:rsidR="005115BE" w:rsidRPr="00D82079">
        <w:rPr>
          <w:sz w:val="24"/>
          <w:szCs w:val="24"/>
          <w:lang w:val="ro-MD"/>
        </w:rPr>
        <w:t>1692)</w:t>
      </w:r>
      <w:r w:rsidRPr="00D82079">
        <w:rPr>
          <w:sz w:val="24"/>
          <w:szCs w:val="24"/>
          <w:lang w:val="ro-MD" w:eastAsia="ru-RU"/>
        </w:rPr>
        <w:t xml:space="preserve">. </w:t>
      </w:r>
    </w:p>
    <w:p w14:paraId="37418F3F" w14:textId="385724C7" w:rsidR="00C438BD" w:rsidRPr="00D82079" w:rsidRDefault="00C438BD" w:rsidP="00D82079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Furnizorul este în drept să solicite </w:t>
      </w:r>
      <w:proofErr w:type="spellStart"/>
      <w:r w:rsidRPr="00D82079">
        <w:rPr>
          <w:sz w:val="24"/>
          <w:szCs w:val="24"/>
          <w:lang w:val="ro-MD" w:eastAsia="ru-RU"/>
        </w:rPr>
        <w:t>Agenţiei</w:t>
      </w:r>
      <w:proofErr w:type="spellEnd"/>
      <w:r w:rsidRPr="00D82079">
        <w:rPr>
          <w:sz w:val="24"/>
          <w:szCs w:val="24"/>
          <w:lang w:val="ro-MD" w:eastAsia="ru-RU"/>
        </w:rPr>
        <w:t xml:space="preserve"> actualizarea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în decursul anului, dacă există factori obiectivi ce nu pot fi </w:t>
      </w:r>
      <w:proofErr w:type="spellStart"/>
      <w:r w:rsidRPr="00D82079">
        <w:rPr>
          <w:sz w:val="24"/>
          <w:szCs w:val="24"/>
          <w:lang w:val="ro-MD" w:eastAsia="ru-RU"/>
        </w:rPr>
        <w:t>controlaţi</w:t>
      </w:r>
      <w:proofErr w:type="spellEnd"/>
      <w:r w:rsidRPr="00D82079">
        <w:rPr>
          <w:sz w:val="24"/>
          <w:szCs w:val="24"/>
          <w:lang w:val="ro-MD" w:eastAsia="ru-RU"/>
        </w:rPr>
        <w:t xml:space="preserve"> de acesta (modificarea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de procurare a energiei electrice, </w:t>
      </w:r>
      <w:proofErr w:type="spellStart"/>
      <w:r w:rsidRPr="00D82079">
        <w:rPr>
          <w:sz w:val="24"/>
          <w:szCs w:val="24"/>
          <w:lang w:val="ro-MD" w:eastAsia="ru-RU"/>
        </w:rPr>
        <w:t>fluctuaţia</w:t>
      </w:r>
      <w:proofErr w:type="spellEnd"/>
      <w:r w:rsidRPr="00D82079">
        <w:rPr>
          <w:sz w:val="24"/>
          <w:szCs w:val="24"/>
          <w:lang w:val="ro-MD" w:eastAsia="ru-RU"/>
        </w:rPr>
        <w:t xml:space="preserve"> cursului de schimb al valutei </w:t>
      </w:r>
      <w:proofErr w:type="spellStart"/>
      <w:r w:rsidRPr="00D82079">
        <w:rPr>
          <w:sz w:val="24"/>
          <w:szCs w:val="24"/>
          <w:lang w:val="ro-MD" w:eastAsia="ru-RU"/>
        </w:rPr>
        <w:t>naţionale</w:t>
      </w:r>
      <w:proofErr w:type="spellEnd"/>
      <w:r w:rsidRPr="00D82079">
        <w:rPr>
          <w:sz w:val="24"/>
          <w:szCs w:val="24"/>
          <w:lang w:val="ro-MD" w:eastAsia="ru-RU"/>
        </w:rPr>
        <w:t xml:space="preserve">, </w:t>
      </w:r>
      <w:proofErr w:type="spellStart"/>
      <w:r w:rsidRPr="00D82079">
        <w:rPr>
          <w:sz w:val="24"/>
          <w:szCs w:val="24"/>
          <w:lang w:val="ro-MD" w:eastAsia="ru-RU"/>
        </w:rPr>
        <w:t>apariţia</w:t>
      </w:r>
      <w:proofErr w:type="spellEnd"/>
      <w:r w:rsidRPr="00D82079">
        <w:rPr>
          <w:sz w:val="24"/>
          <w:szCs w:val="24"/>
          <w:lang w:val="ro-MD" w:eastAsia="ru-RU"/>
        </w:rPr>
        <w:t xml:space="preserve"> actelor normative ce conduc la majorarea costurilor de furnizare etc.), care justifică o astfel de actualizare şi care duc la o deviere mai mare de </w:t>
      </w:r>
      <w:r w:rsidR="00642A65" w:rsidRPr="00D82079">
        <w:rPr>
          <w:sz w:val="24"/>
          <w:szCs w:val="24"/>
          <w:lang w:val="ro-MD" w:eastAsia="ru-RU"/>
        </w:rPr>
        <w:t>1</w:t>
      </w:r>
      <w:r w:rsidRPr="00D82079">
        <w:rPr>
          <w:sz w:val="24"/>
          <w:szCs w:val="24"/>
          <w:lang w:val="ro-MD" w:eastAsia="ru-RU"/>
        </w:rPr>
        <w:t xml:space="preserve">% </w:t>
      </w:r>
      <w:r w:rsidR="008632FF" w:rsidRPr="00D82079">
        <w:rPr>
          <w:sz w:val="24"/>
          <w:szCs w:val="24"/>
          <w:lang w:val="ro-MD" w:eastAsia="ru-RU"/>
        </w:rPr>
        <w:t>din venitul reglementat luat în considerare la aprobarea prețurilor reglementate pentru furnizarea energiei electrice</w:t>
      </w:r>
      <w:r w:rsidRPr="00D82079">
        <w:rPr>
          <w:sz w:val="24"/>
          <w:szCs w:val="24"/>
          <w:lang w:val="ro-MD" w:eastAsia="ru-RU"/>
        </w:rPr>
        <w:t xml:space="preserve">. În acest caz, Furnizorul va prezenta </w:t>
      </w:r>
      <w:proofErr w:type="spellStart"/>
      <w:r w:rsidRPr="00D82079">
        <w:rPr>
          <w:sz w:val="24"/>
          <w:szCs w:val="24"/>
          <w:lang w:val="ro-MD" w:eastAsia="ru-RU"/>
        </w:rPr>
        <w:t>Agenţiei</w:t>
      </w:r>
      <w:proofErr w:type="spellEnd"/>
      <w:r w:rsidRPr="00D82079">
        <w:rPr>
          <w:sz w:val="24"/>
          <w:szCs w:val="24"/>
          <w:lang w:val="ro-MD" w:eastAsia="ru-RU"/>
        </w:rPr>
        <w:t xml:space="preserve"> o analiză a factorilor de influenţă şi a devierilor dintre datele aplicate la calcularea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</w:t>
      </w:r>
      <w:proofErr w:type="spellStart"/>
      <w:r w:rsidRPr="00D82079">
        <w:rPr>
          <w:sz w:val="24"/>
          <w:szCs w:val="24"/>
          <w:lang w:val="ro-MD" w:eastAsia="ru-RU"/>
        </w:rPr>
        <w:t>şi</w:t>
      </w:r>
      <w:proofErr w:type="spellEnd"/>
      <w:r w:rsidRPr="00D82079">
        <w:rPr>
          <w:sz w:val="24"/>
          <w:szCs w:val="24"/>
          <w:lang w:val="ro-MD" w:eastAsia="ru-RU"/>
        </w:rPr>
        <w:t xml:space="preserve"> cele real înregistrate. </w:t>
      </w:r>
    </w:p>
    <w:p w14:paraId="692134F5" w14:textId="23FA264D" w:rsidR="00C438BD" w:rsidRPr="00D82079" w:rsidRDefault="00C438BD" w:rsidP="00D82079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În cazul </w:t>
      </w:r>
      <w:proofErr w:type="spellStart"/>
      <w:r w:rsidRPr="00D82079">
        <w:rPr>
          <w:sz w:val="24"/>
          <w:szCs w:val="24"/>
          <w:lang w:val="ro-MD" w:eastAsia="ru-RU"/>
        </w:rPr>
        <w:t>existenţei</w:t>
      </w:r>
      <w:proofErr w:type="spellEnd"/>
      <w:r w:rsidRPr="00D82079">
        <w:rPr>
          <w:sz w:val="24"/>
          <w:szCs w:val="24"/>
          <w:lang w:val="ro-MD" w:eastAsia="ru-RU"/>
        </w:rPr>
        <w:t xml:space="preserve"> unor factori obiectivi care generează devieri mai mari de </w:t>
      </w:r>
      <w:r w:rsidR="001059BC" w:rsidRPr="00D82079">
        <w:rPr>
          <w:sz w:val="24"/>
          <w:szCs w:val="24"/>
          <w:lang w:val="ro-MD" w:eastAsia="ru-RU"/>
        </w:rPr>
        <w:t>1</w:t>
      </w:r>
      <w:r w:rsidRPr="00D82079">
        <w:rPr>
          <w:sz w:val="24"/>
          <w:szCs w:val="24"/>
          <w:lang w:val="ro-MD" w:eastAsia="ru-RU"/>
        </w:rPr>
        <w:t xml:space="preserve">% </w:t>
      </w:r>
      <w:r w:rsidR="008632FF" w:rsidRPr="00D82079">
        <w:rPr>
          <w:sz w:val="24"/>
          <w:szCs w:val="24"/>
          <w:lang w:val="ro-MD" w:eastAsia="ru-RU"/>
        </w:rPr>
        <w:t>din venitul reglementat luat în considerare la aprobarea prețurilor reglementate pentru furnizarea energiei electrice</w:t>
      </w:r>
      <w:r w:rsidRPr="00D82079">
        <w:rPr>
          <w:sz w:val="24"/>
          <w:szCs w:val="24"/>
          <w:lang w:val="ro-MD" w:eastAsia="ru-RU"/>
        </w:rPr>
        <w:t xml:space="preserve"> şi care duc la diminuarea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, </w:t>
      </w:r>
      <w:proofErr w:type="spellStart"/>
      <w:r w:rsidRPr="00D82079">
        <w:rPr>
          <w:sz w:val="24"/>
          <w:szCs w:val="24"/>
          <w:lang w:val="ro-MD" w:eastAsia="ru-RU"/>
        </w:rPr>
        <w:t>Agenţia</w:t>
      </w:r>
      <w:proofErr w:type="spellEnd"/>
      <w:r w:rsidRPr="00D82079">
        <w:rPr>
          <w:sz w:val="24"/>
          <w:szCs w:val="24"/>
          <w:lang w:val="ro-MD" w:eastAsia="ru-RU"/>
        </w:rPr>
        <w:t xml:space="preserve"> </w:t>
      </w:r>
      <w:r w:rsidR="00BE2C2E">
        <w:rPr>
          <w:sz w:val="24"/>
          <w:szCs w:val="24"/>
          <w:lang w:val="ro-MD" w:eastAsia="ru-RU"/>
        </w:rPr>
        <w:t>solicită</w:t>
      </w:r>
      <w:r w:rsidRPr="00D82079">
        <w:rPr>
          <w:sz w:val="24"/>
          <w:szCs w:val="24"/>
          <w:lang w:val="ro-MD" w:eastAsia="ru-RU"/>
        </w:rPr>
        <w:t xml:space="preserve"> Furnizorului prezentarea calculului </w:t>
      </w:r>
      <w:proofErr w:type="spellStart"/>
      <w:r w:rsidRPr="00D82079">
        <w:rPr>
          <w:sz w:val="24"/>
          <w:szCs w:val="24"/>
          <w:lang w:val="ro-MD" w:eastAsia="ru-RU"/>
        </w:rPr>
        <w:t>preţu</w:t>
      </w:r>
      <w:r w:rsidR="005115BE" w:rsidRPr="00D82079">
        <w:rPr>
          <w:sz w:val="24"/>
          <w:szCs w:val="24"/>
          <w:lang w:val="ro-MD" w:eastAsia="ru-RU"/>
        </w:rPr>
        <w:t>rilor</w:t>
      </w:r>
      <w:proofErr w:type="spellEnd"/>
      <w:r w:rsidRPr="00D82079">
        <w:rPr>
          <w:sz w:val="24"/>
          <w:szCs w:val="24"/>
          <w:lang w:val="ro-MD" w:eastAsia="ru-RU"/>
        </w:rPr>
        <w:t xml:space="preserve"> ajustat</w:t>
      </w:r>
      <w:r w:rsidR="005115BE" w:rsidRPr="00D82079">
        <w:rPr>
          <w:sz w:val="24"/>
          <w:szCs w:val="24"/>
          <w:lang w:val="ro-MD" w:eastAsia="ru-RU"/>
        </w:rPr>
        <w:t>e</w:t>
      </w:r>
      <w:r w:rsidRPr="00D82079">
        <w:rPr>
          <w:sz w:val="24"/>
          <w:szCs w:val="24"/>
          <w:lang w:val="ro-MD" w:eastAsia="ru-RU"/>
        </w:rPr>
        <w:t>.</w:t>
      </w:r>
    </w:p>
    <w:p w14:paraId="39F98960" w14:textId="4037E42F" w:rsidR="00C438BD" w:rsidRPr="00D82079" w:rsidRDefault="00C438BD" w:rsidP="00D82079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Devierile tarifare create pe parcursul anului „n-1” de gestiune vor fi incluse în </w:t>
      </w:r>
      <w:proofErr w:type="spellStart"/>
      <w:r w:rsidRPr="00D82079">
        <w:rPr>
          <w:sz w:val="24"/>
          <w:szCs w:val="24"/>
          <w:lang w:val="ro-MD" w:eastAsia="ru-RU"/>
        </w:rPr>
        <w:t>preţul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 pentru anul „n”. În cazul modificării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 în decursul anului de gestiune, devierile tarifare generate în perioada precedentă a anului de gestiune vor fi luate în considera</w:t>
      </w:r>
      <w:r w:rsidR="00E76163" w:rsidRPr="00231B67">
        <w:rPr>
          <w:sz w:val="24"/>
          <w:szCs w:val="24"/>
          <w:lang w:val="ro-MD" w:eastAsia="ru-RU"/>
        </w:rPr>
        <w:t>re</w:t>
      </w:r>
      <w:r w:rsidRPr="00D82079">
        <w:rPr>
          <w:sz w:val="24"/>
          <w:szCs w:val="24"/>
          <w:lang w:val="ro-MD" w:eastAsia="ru-RU"/>
        </w:rPr>
        <w:t xml:space="preserve"> în totalitate la calcularea noilor </w:t>
      </w:r>
      <w:proofErr w:type="spellStart"/>
      <w:r w:rsidRPr="00D82079">
        <w:rPr>
          <w:sz w:val="24"/>
          <w:szCs w:val="24"/>
          <w:lang w:val="ro-MD" w:eastAsia="ru-RU"/>
        </w:rPr>
        <w:t>preţuri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reglementate. În acest caz, devierile tarifare se includ în </w:t>
      </w:r>
      <w:proofErr w:type="spellStart"/>
      <w:r w:rsidRPr="00D82079">
        <w:rPr>
          <w:sz w:val="24"/>
          <w:szCs w:val="24"/>
          <w:lang w:val="ro-MD" w:eastAsia="ru-RU"/>
        </w:rPr>
        <w:t>preţul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 astfel ca acestea să fie recuperate până la </w:t>
      </w:r>
      <w:proofErr w:type="spellStart"/>
      <w:r w:rsidRPr="00D82079">
        <w:rPr>
          <w:sz w:val="24"/>
          <w:szCs w:val="24"/>
          <w:lang w:val="ro-MD" w:eastAsia="ru-RU"/>
        </w:rPr>
        <w:t>sfârşitul</w:t>
      </w:r>
      <w:proofErr w:type="spellEnd"/>
      <w:r w:rsidRPr="00D82079">
        <w:rPr>
          <w:sz w:val="24"/>
          <w:szCs w:val="24"/>
          <w:lang w:val="ro-MD" w:eastAsia="ru-RU"/>
        </w:rPr>
        <w:t xml:space="preserve"> anului de gestiune.</w:t>
      </w:r>
    </w:p>
    <w:p w14:paraId="3517F0B5" w14:textId="414A4DA4" w:rsidR="00C438BD" w:rsidRPr="00D82079" w:rsidRDefault="00C438BD" w:rsidP="00D82079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>Variabila Dev</w:t>
      </w:r>
      <w:r w:rsidRPr="00D82079">
        <w:rPr>
          <w:sz w:val="24"/>
          <w:szCs w:val="24"/>
          <w:vertAlign w:val="subscript"/>
          <w:lang w:val="ro-MD" w:eastAsia="ru-RU"/>
        </w:rPr>
        <w:t>n-1</w:t>
      </w:r>
      <w:r w:rsidRPr="00D82079">
        <w:rPr>
          <w:sz w:val="24"/>
          <w:szCs w:val="24"/>
          <w:lang w:val="ro-MD" w:eastAsia="ru-RU"/>
        </w:rPr>
        <w:t xml:space="preserve"> va fi calculată în fiecare an de gestiune pentru a reflecta impactul financiar al devierilor dintre valorile prognozate ale indicatorilor la stabilirea </w:t>
      </w:r>
      <w:proofErr w:type="spellStart"/>
      <w:r w:rsidRPr="00D82079">
        <w:rPr>
          <w:sz w:val="24"/>
          <w:szCs w:val="24"/>
          <w:lang w:val="ro-MD" w:eastAsia="ru-RU"/>
        </w:rPr>
        <w:t>preţu</w:t>
      </w:r>
      <w:r w:rsidR="002E4F30">
        <w:rPr>
          <w:sz w:val="24"/>
          <w:szCs w:val="24"/>
          <w:lang w:val="ro-MD" w:eastAsia="ru-RU"/>
        </w:rPr>
        <w:t>rilor</w:t>
      </w:r>
      <w:proofErr w:type="spellEnd"/>
      <w:r w:rsidR="002E4F30">
        <w:rPr>
          <w:sz w:val="24"/>
          <w:szCs w:val="24"/>
          <w:lang w:val="ro-MD" w:eastAsia="ru-RU"/>
        </w:rPr>
        <w:t xml:space="preserve"> </w:t>
      </w:r>
      <w:r w:rsidRPr="00D82079">
        <w:rPr>
          <w:sz w:val="24"/>
          <w:szCs w:val="24"/>
          <w:lang w:val="ro-MD" w:eastAsia="ru-RU"/>
        </w:rPr>
        <w:t xml:space="preserve"> reglementat</w:t>
      </w:r>
      <w:r w:rsidR="002E4F30">
        <w:rPr>
          <w:sz w:val="24"/>
          <w:szCs w:val="24"/>
          <w:lang w:val="ro-MD" w:eastAsia="ru-RU"/>
        </w:rPr>
        <w:t>e pentru furnizarea energiei electrice</w:t>
      </w:r>
      <w:r w:rsidRPr="00D82079">
        <w:rPr>
          <w:sz w:val="24"/>
          <w:szCs w:val="24"/>
          <w:lang w:val="ro-MD" w:eastAsia="ru-RU"/>
        </w:rPr>
        <w:t xml:space="preserve"> în anul „n-1” şi cele real înregistrate în acest an.</w:t>
      </w:r>
    </w:p>
    <w:p w14:paraId="727A1882" w14:textId="78057C54" w:rsidR="00C438BD" w:rsidRPr="00D82079" w:rsidRDefault="00C438BD" w:rsidP="00D82079">
      <w:pPr>
        <w:pStyle w:val="a7"/>
        <w:numPr>
          <w:ilvl w:val="0"/>
          <w:numId w:val="2"/>
        </w:numPr>
        <w:ind w:left="0" w:firstLine="567"/>
        <w:jc w:val="both"/>
        <w:rPr>
          <w:sz w:val="24"/>
          <w:szCs w:val="24"/>
          <w:lang w:val="ro-MD" w:eastAsia="ru-RU"/>
        </w:rPr>
      </w:pPr>
      <w:r w:rsidRPr="00D82079">
        <w:rPr>
          <w:sz w:val="24"/>
          <w:szCs w:val="24"/>
          <w:lang w:val="ro-MD" w:eastAsia="ru-RU"/>
        </w:rPr>
        <w:t xml:space="preserve">În cazul în care în perioada de aplicare a Metodologiei vor fi adoptate acte normative de reglementare, care vor </w:t>
      </w:r>
      <w:proofErr w:type="spellStart"/>
      <w:r w:rsidRPr="00D82079">
        <w:rPr>
          <w:sz w:val="24"/>
          <w:szCs w:val="24"/>
          <w:lang w:val="ro-MD" w:eastAsia="ru-RU"/>
        </w:rPr>
        <w:t>influenţa</w:t>
      </w:r>
      <w:proofErr w:type="spellEnd"/>
      <w:r w:rsidRPr="00D82079">
        <w:rPr>
          <w:sz w:val="24"/>
          <w:szCs w:val="24"/>
          <w:lang w:val="ro-MD" w:eastAsia="ru-RU"/>
        </w:rPr>
        <w:t xml:space="preserve"> nivelul costurilor </w:t>
      </w:r>
      <w:proofErr w:type="spellStart"/>
      <w:r w:rsidRPr="00D82079">
        <w:rPr>
          <w:sz w:val="24"/>
          <w:szCs w:val="24"/>
          <w:lang w:val="ro-MD" w:eastAsia="ru-RU"/>
        </w:rPr>
        <w:t>şi</w:t>
      </w:r>
      <w:proofErr w:type="spellEnd"/>
      <w:r w:rsidRPr="00D82079">
        <w:rPr>
          <w:sz w:val="24"/>
          <w:szCs w:val="24"/>
          <w:lang w:val="ro-MD" w:eastAsia="ru-RU"/>
        </w:rPr>
        <w:t xml:space="preserve"> al cheltuielilor de furnizare a energiei electrice, aceste modificări vor fi luate în considera</w:t>
      </w:r>
      <w:r w:rsidR="005115BE" w:rsidRPr="00D82079">
        <w:rPr>
          <w:sz w:val="24"/>
          <w:szCs w:val="24"/>
          <w:lang w:val="ro-MD" w:eastAsia="ru-RU"/>
        </w:rPr>
        <w:t>r</w:t>
      </w:r>
      <w:r w:rsidRPr="00D82079">
        <w:rPr>
          <w:sz w:val="24"/>
          <w:szCs w:val="24"/>
          <w:lang w:val="ro-MD" w:eastAsia="ru-RU"/>
        </w:rPr>
        <w:t xml:space="preserve">e de către </w:t>
      </w:r>
      <w:proofErr w:type="spellStart"/>
      <w:r w:rsidRPr="00D82079">
        <w:rPr>
          <w:sz w:val="24"/>
          <w:szCs w:val="24"/>
          <w:lang w:val="ro-MD" w:eastAsia="ru-RU"/>
        </w:rPr>
        <w:t>Agenţie</w:t>
      </w:r>
      <w:proofErr w:type="spellEnd"/>
      <w:r w:rsidRPr="00D82079">
        <w:rPr>
          <w:sz w:val="24"/>
          <w:szCs w:val="24"/>
          <w:lang w:val="ro-MD" w:eastAsia="ru-RU"/>
        </w:rPr>
        <w:t xml:space="preserve"> la ajustarea </w:t>
      </w:r>
      <w:proofErr w:type="spellStart"/>
      <w:r w:rsidRPr="00D82079">
        <w:rPr>
          <w:sz w:val="24"/>
          <w:szCs w:val="24"/>
          <w:lang w:val="ro-MD" w:eastAsia="ru-RU"/>
        </w:rPr>
        <w:t>preţurilor</w:t>
      </w:r>
      <w:proofErr w:type="spellEnd"/>
      <w:r w:rsidRPr="00D82079">
        <w:rPr>
          <w:sz w:val="24"/>
          <w:szCs w:val="24"/>
          <w:lang w:val="ro-MD" w:eastAsia="ru-RU"/>
        </w:rPr>
        <w:t xml:space="preserve"> reglementate</w:t>
      </w:r>
      <w:r w:rsidR="002E4F30">
        <w:rPr>
          <w:sz w:val="24"/>
          <w:szCs w:val="24"/>
          <w:lang w:val="ro-MD" w:eastAsia="ru-RU"/>
        </w:rPr>
        <w:t xml:space="preserve"> pentru furnizarea energiei electrice</w:t>
      </w:r>
      <w:r w:rsidRPr="00D82079">
        <w:rPr>
          <w:sz w:val="24"/>
          <w:szCs w:val="24"/>
          <w:lang w:val="ro-MD" w:eastAsia="ru-RU"/>
        </w:rPr>
        <w:t xml:space="preserve">. </w:t>
      </w:r>
    </w:p>
    <w:p w14:paraId="510B1B60" w14:textId="77777777" w:rsidR="00C048C2" w:rsidRPr="00231B67" w:rsidRDefault="00C438BD" w:rsidP="00C438BD">
      <w:pPr>
        <w:rPr>
          <w:lang w:val="ro-MD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sectPr w:rsidR="00C048C2" w:rsidRPr="00231B67" w:rsidSect="00223D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F90D84" w16cex:dateUtc="2025-10-17T08:48:00Z"/>
  <w16cex:commentExtensible w16cex:durableId="40AD8DA7" w16cex:dateUtc="2025-10-17T10:17:00Z"/>
  <w16cex:commentExtensible w16cex:durableId="29A6583E" w16cex:dateUtc="2025-10-17T10:18:00Z"/>
  <w16cex:commentExtensible w16cex:durableId="62C98F0C" w16cex:dateUtc="2025-10-17T10:16:00Z"/>
  <w16cex:commentExtensible w16cex:durableId="7FC095DA" w16cex:dateUtc="2025-10-17T08:57:00Z"/>
  <w16cex:commentExtensible w16cex:durableId="04CA24D5" w16cex:dateUtc="2025-10-17T10:24:00Z"/>
  <w16cex:commentExtensible w16cex:durableId="6DE1CBD1" w16cex:dateUtc="2025-10-17T10:33:00Z"/>
  <w16cex:commentExtensible w16cex:durableId="23A3B8C2" w16cex:dateUtc="2025-10-17T10:30:00Z"/>
  <w16cex:commentExtensible w16cex:durableId="1C9B7DD6" w16cex:dateUtc="2025-10-17T10:34:00Z"/>
  <w16cex:commentExtensible w16cex:durableId="4DCD375C" w16cex:dateUtc="2025-10-17T10:34:00Z"/>
  <w16cex:commentExtensible w16cex:durableId="49CA24BE" w16cex:dateUtc="2025-10-17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09C04C" w16cid:durableId="73F90D84"/>
  <w16cid:commentId w16cid:paraId="3983BC35" w16cid:durableId="40AD8DA7"/>
  <w16cid:commentId w16cid:paraId="5F6C176A" w16cid:durableId="29A6583E"/>
  <w16cid:commentId w16cid:paraId="0F7A83D9" w16cid:durableId="62C98F0C"/>
  <w16cid:commentId w16cid:paraId="44892549" w16cid:durableId="7FC095DA"/>
  <w16cid:commentId w16cid:paraId="6F47A2BD" w16cid:durableId="04CA24D5"/>
  <w16cid:commentId w16cid:paraId="1EFE699F" w16cid:durableId="6DE1CBD1"/>
  <w16cid:commentId w16cid:paraId="05B841EB" w16cid:durableId="23A3B8C2"/>
  <w16cid:commentId w16cid:paraId="0E6F617B" w16cid:durableId="1C9B7DD6"/>
  <w16cid:commentId w16cid:paraId="41BBDEB9" w16cid:durableId="4DCD375C"/>
  <w16cid:commentId w16cid:paraId="1B60154B" w16cid:durableId="49CA24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BE0"/>
    <w:multiLevelType w:val="hybridMultilevel"/>
    <w:tmpl w:val="86D0643A"/>
    <w:lvl w:ilvl="0" w:tplc="8B083FB2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E608A2"/>
    <w:multiLevelType w:val="hybridMultilevel"/>
    <w:tmpl w:val="AB2E7468"/>
    <w:lvl w:ilvl="0" w:tplc="1012E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E64E6"/>
    <w:multiLevelType w:val="multilevel"/>
    <w:tmpl w:val="7348F9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CAC4A58"/>
    <w:multiLevelType w:val="hybridMultilevel"/>
    <w:tmpl w:val="1DC09802"/>
    <w:lvl w:ilvl="0" w:tplc="1318DB28">
      <w:start w:val="1"/>
      <w:numFmt w:val="decimal"/>
      <w:lvlText w:val="15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6B3167"/>
    <w:multiLevelType w:val="hybridMultilevel"/>
    <w:tmpl w:val="0090F11A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982F20"/>
    <w:multiLevelType w:val="hybridMultilevel"/>
    <w:tmpl w:val="F1863C5C"/>
    <w:lvl w:ilvl="0" w:tplc="27C4FF8A">
      <w:start w:val="1"/>
      <w:numFmt w:val="decimal"/>
      <w:lvlText w:val="4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DF4486"/>
    <w:multiLevelType w:val="hybridMultilevel"/>
    <w:tmpl w:val="9A9E1262"/>
    <w:lvl w:ilvl="0" w:tplc="92B6E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967ED2"/>
    <w:multiLevelType w:val="hybridMultilevel"/>
    <w:tmpl w:val="7994A688"/>
    <w:lvl w:ilvl="0" w:tplc="2774D72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3659CA"/>
    <w:multiLevelType w:val="hybridMultilevel"/>
    <w:tmpl w:val="BEDC95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6965C5"/>
    <w:multiLevelType w:val="hybridMultilevel"/>
    <w:tmpl w:val="683C5C06"/>
    <w:lvl w:ilvl="0" w:tplc="FCA02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E6ADF"/>
    <w:multiLevelType w:val="hybridMultilevel"/>
    <w:tmpl w:val="74A8E4AE"/>
    <w:lvl w:ilvl="0" w:tplc="8B40B1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7455B0"/>
    <w:multiLevelType w:val="hybridMultilevel"/>
    <w:tmpl w:val="04CA1894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29D1CBB"/>
    <w:multiLevelType w:val="hybridMultilevel"/>
    <w:tmpl w:val="180E3834"/>
    <w:lvl w:ilvl="0" w:tplc="82D83084">
      <w:start w:val="1"/>
      <w:numFmt w:val="decimal"/>
      <w:lvlText w:val="24.%1."/>
      <w:lvlJc w:val="left"/>
      <w:pPr>
        <w:ind w:left="1287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F57DD9"/>
    <w:multiLevelType w:val="hybridMultilevel"/>
    <w:tmpl w:val="739CA1DA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A21FEB"/>
    <w:multiLevelType w:val="hybridMultilevel"/>
    <w:tmpl w:val="6D54AFFA"/>
    <w:lvl w:ilvl="0" w:tplc="75BC2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9B72D3"/>
    <w:multiLevelType w:val="hybridMultilevel"/>
    <w:tmpl w:val="928C8CCC"/>
    <w:lvl w:ilvl="0" w:tplc="1E76DF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9E7E9F"/>
    <w:multiLevelType w:val="hybridMultilevel"/>
    <w:tmpl w:val="911A2B8E"/>
    <w:lvl w:ilvl="0" w:tplc="63F885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3"/>
  </w:num>
  <w:num w:numId="5">
    <w:abstractNumId w:val="15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6"/>
  </w:num>
  <w:num w:numId="12">
    <w:abstractNumId w:val="7"/>
  </w:num>
  <w:num w:numId="13">
    <w:abstractNumId w:val="3"/>
  </w:num>
  <w:num w:numId="14">
    <w:abstractNumId w:val="10"/>
  </w:num>
  <w:num w:numId="15">
    <w:abstractNumId w:val="1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BD"/>
    <w:rsid w:val="000045B9"/>
    <w:rsid w:val="00007303"/>
    <w:rsid w:val="00012605"/>
    <w:rsid w:val="000144C4"/>
    <w:rsid w:val="0002212B"/>
    <w:rsid w:val="00031066"/>
    <w:rsid w:val="00031EFE"/>
    <w:rsid w:val="00032147"/>
    <w:rsid w:val="000352FC"/>
    <w:rsid w:val="00050568"/>
    <w:rsid w:val="00057685"/>
    <w:rsid w:val="0006024C"/>
    <w:rsid w:val="00072D86"/>
    <w:rsid w:val="00083320"/>
    <w:rsid w:val="0008358D"/>
    <w:rsid w:val="00093BC2"/>
    <w:rsid w:val="000A0A1E"/>
    <w:rsid w:val="000B1536"/>
    <w:rsid w:val="000B521E"/>
    <w:rsid w:val="000C3E76"/>
    <w:rsid w:val="000D2A60"/>
    <w:rsid w:val="000D58A1"/>
    <w:rsid w:val="00105897"/>
    <w:rsid w:val="001059BC"/>
    <w:rsid w:val="001133FB"/>
    <w:rsid w:val="00114379"/>
    <w:rsid w:val="00126C82"/>
    <w:rsid w:val="00151D11"/>
    <w:rsid w:val="00156863"/>
    <w:rsid w:val="001668B4"/>
    <w:rsid w:val="001742AD"/>
    <w:rsid w:val="00174A50"/>
    <w:rsid w:val="00177368"/>
    <w:rsid w:val="00190022"/>
    <w:rsid w:val="00193ED0"/>
    <w:rsid w:val="001A5E56"/>
    <w:rsid w:val="001B7618"/>
    <w:rsid w:val="001D3252"/>
    <w:rsid w:val="001E2164"/>
    <w:rsid w:val="001F17A0"/>
    <w:rsid w:val="001F62AE"/>
    <w:rsid w:val="0020386F"/>
    <w:rsid w:val="00216C27"/>
    <w:rsid w:val="00222909"/>
    <w:rsid w:val="00223D2F"/>
    <w:rsid w:val="002250D8"/>
    <w:rsid w:val="00231B67"/>
    <w:rsid w:val="002338D4"/>
    <w:rsid w:val="0023439D"/>
    <w:rsid w:val="002461EC"/>
    <w:rsid w:val="002508E4"/>
    <w:rsid w:val="002547FC"/>
    <w:rsid w:val="0026131E"/>
    <w:rsid w:val="00270380"/>
    <w:rsid w:val="00281F82"/>
    <w:rsid w:val="00297962"/>
    <w:rsid w:val="002A2850"/>
    <w:rsid w:val="002A520E"/>
    <w:rsid w:val="002A6A00"/>
    <w:rsid w:val="002A79B3"/>
    <w:rsid w:val="002B27B9"/>
    <w:rsid w:val="002B69FD"/>
    <w:rsid w:val="002D4749"/>
    <w:rsid w:val="002E2623"/>
    <w:rsid w:val="002E4F30"/>
    <w:rsid w:val="002F3F85"/>
    <w:rsid w:val="003120E2"/>
    <w:rsid w:val="003143ED"/>
    <w:rsid w:val="0034692C"/>
    <w:rsid w:val="00356B23"/>
    <w:rsid w:val="0037059F"/>
    <w:rsid w:val="003718B8"/>
    <w:rsid w:val="003747BA"/>
    <w:rsid w:val="003848D1"/>
    <w:rsid w:val="00384D0C"/>
    <w:rsid w:val="00386263"/>
    <w:rsid w:val="003868BE"/>
    <w:rsid w:val="003A21B4"/>
    <w:rsid w:val="003A7960"/>
    <w:rsid w:val="003B59ED"/>
    <w:rsid w:val="003B7724"/>
    <w:rsid w:val="003C028C"/>
    <w:rsid w:val="003C0428"/>
    <w:rsid w:val="003D3207"/>
    <w:rsid w:val="00400921"/>
    <w:rsid w:val="00401C11"/>
    <w:rsid w:val="00413C7C"/>
    <w:rsid w:val="004537EE"/>
    <w:rsid w:val="00454756"/>
    <w:rsid w:val="00461955"/>
    <w:rsid w:val="00465841"/>
    <w:rsid w:val="0047575A"/>
    <w:rsid w:val="00490B95"/>
    <w:rsid w:val="004940E6"/>
    <w:rsid w:val="004B496C"/>
    <w:rsid w:val="004C0D4D"/>
    <w:rsid w:val="004E33C6"/>
    <w:rsid w:val="004F72BF"/>
    <w:rsid w:val="00505157"/>
    <w:rsid w:val="005115BE"/>
    <w:rsid w:val="0051228B"/>
    <w:rsid w:val="00520846"/>
    <w:rsid w:val="005256A5"/>
    <w:rsid w:val="00537920"/>
    <w:rsid w:val="00541045"/>
    <w:rsid w:val="00541F59"/>
    <w:rsid w:val="005573F1"/>
    <w:rsid w:val="005647F9"/>
    <w:rsid w:val="00565734"/>
    <w:rsid w:val="00571F04"/>
    <w:rsid w:val="005721DC"/>
    <w:rsid w:val="0057280C"/>
    <w:rsid w:val="00574C0E"/>
    <w:rsid w:val="005814E5"/>
    <w:rsid w:val="00585F01"/>
    <w:rsid w:val="005A67F6"/>
    <w:rsid w:val="005B1CE5"/>
    <w:rsid w:val="005B5B51"/>
    <w:rsid w:val="005D2EDD"/>
    <w:rsid w:val="005D42C5"/>
    <w:rsid w:val="005E0A5C"/>
    <w:rsid w:val="0060352E"/>
    <w:rsid w:val="00605A49"/>
    <w:rsid w:val="006074CF"/>
    <w:rsid w:val="006138DB"/>
    <w:rsid w:val="00614796"/>
    <w:rsid w:val="00623517"/>
    <w:rsid w:val="006314CE"/>
    <w:rsid w:val="00633CBA"/>
    <w:rsid w:val="00642A65"/>
    <w:rsid w:val="00656052"/>
    <w:rsid w:val="00657511"/>
    <w:rsid w:val="00660005"/>
    <w:rsid w:val="0066398A"/>
    <w:rsid w:val="00667104"/>
    <w:rsid w:val="00674CE0"/>
    <w:rsid w:val="0067539E"/>
    <w:rsid w:val="00682E6B"/>
    <w:rsid w:val="00694618"/>
    <w:rsid w:val="006A1860"/>
    <w:rsid w:val="006A1D29"/>
    <w:rsid w:val="006A614F"/>
    <w:rsid w:val="006A7F1D"/>
    <w:rsid w:val="006D2FE2"/>
    <w:rsid w:val="006D4368"/>
    <w:rsid w:val="006D6E3E"/>
    <w:rsid w:val="006D7B94"/>
    <w:rsid w:val="006F2160"/>
    <w:rsid w:val="006F3F89"/>
    <w:rsid w:val="00725705"/>
    <w:rsid w:val="0075290F"/>
    <w:rsid w:val="00755D8B"/>
    <w:rsid w:val="00762263"/>
    <w:rsid w:val="007672DF"/>
    <w:rsid w:val="007729A0"/>
    <w:rsid w:val="00780EA8"/>
    <w:rsid w:val="00781A80"/>
    <w:rsid w:val="00785F65"/>
    <w:rsid w:val="0078714A"/>
    <w:rsid w:val="007934F7"/>
    <w:rsid w:val="007944B6"/>
    <w:rsid w:val="007C0BD0"/>
    <w:rsid w:val="007C5F2A"/>
    <w:rsid w:val="007D3393"/>
    <w:rsid w:val="007D65AE"/>
    <w:rsid w:val="007E58D1"/>
    <w:rsid w:val="007F5EF8"/>
    <w:rsid w:val="007F6387"/>
    <w:rsid w:val="0080708F"/>
    <w:rsid w:val="00811F7F"/>
    <w:rsid w:val="00817A0C"/>
    <w:rsid w:val="008209FE"/>
    <w:rsid w:val="008218A6"/>
    <w:rsid w:val="00831204"/>
    <w:rsid w:val="008323A4"/>
    <w:rsid w:val="0084275A"/>
    <w:rsid w:val="00860D9E"/>
    <w:rsid w:val="008632FF"/>
    <w:rsid w:val="00872726"/>
    <w:rsid w:val="008731ED"/>
    <w:rsid w:val="00873E6C"/>
    <w:rsid w:val="008857F1"/>
    <w:rsid w:val="00895592"/>
    <w:rsid w:val="008969DD"/>
    <w:rsid w:val="008B26F6"/>
    <w:rsid w:val="008B4DA4"/>
    <w:rsid w:val="008B5985"/>
    <w:rsid w:val="008C4C31"/>
    <w:rsid w:val="008C7F95"/>
    <w:rsid w:val="008D448E"/>
    <w:rsid w:val="008E270C"/>
    <w:rsid w:val="00905264"/>
    <w:rsid w:val="00907ED4"/>
    <w:rsid w:val="0091376C"/>
    <w:rsid w:val="00930230"/>
    <w:rsid w:val="00931C7F"/>
    <w:rsid w:val="009361AC"/>
    <w:rsid w:val="009A11D5"/>
    <w:rsid w:val="009A1B61"/>
    <w:rsid w:val="009B1339"/>
    <w:rsid w:val="009B221A"/>
    <w:rsid w:val="009C2FCE"/>
    <w:rsid w:val="009D1F9A"/>
    <w:rsid w:val="009D7BFE"/>
    <w:rsid w:val="009F3343"/>
    <w:rsid w:val="00A05F12"/>
    <w:rsid w:val="00A10BBF"/>
    <w:rsid w:val="00A1136C"/>
    <w:rsid w:val="00A226A3"/>
    <w:rsid w:val="00A24990"/>
    <w:rsid w:val="00A302DE"/>
    <w:rsid w:val="00A35BBF"/>
    <w:rsid w:val="00A369F3"/>
    <w:rsid w:val="00A50CF0"/>
    <w:rsid w:val="00A51CA0"/>
    <w:rsid w:val="00A631D5"/>
    <w:rsid w:val="00A77B8C"/>
    <w:rsid w:val="00A863D5"/>
    <w:rsid w:val="00A91805"/>
    <w:rsid w:val="00A92CC5"/>
    <w:rsid w:val="00AB3A17"/>
    <w:rsid w:val="00AD0F13"/>
    <w:rsid w:val="00AF1186"/>
    <w:rsid w:val="00AF5329"/>
    <w:rsid w:val="00B01116"/>
    <w:rsid w:val="00B27A5C"/>
    <w:rsid w:val="00B377BF"/>
    <w:rsid w:val="00B45EC2"/>
    <w:rsid w:val="00B472EB"/>
    <w:rsid w:val="00B61CF1"/>
    <w:rsid w:val="00B67B72"/>
    <w:rsid w:val="00B7382B"/>
    <w:rsid w:val="00B95D82"/>
    <w:rsid w:val="00BB0A20"/>
    <w:rsid w:val="00BC0315"/>
    <w:rsid w:val="00BC13E8"/>
    <w:rsid w:val="00BC2C55"/>
    <w:rsid w:val="00BD1E3B"/>
    <w:rsid w:val="00BE2C2E"/>
    <w:rsid w:val="00BF1018"/>
    <w:rsid w:val="00BF10AE"/>
    <w:rsid w:val="00C003C6"/>
    <w:rsid w:val="00C048C2"/>
    <w:rsid w:val="00C063F1"/>
    <w:rsid w:val="00C41B63"/>
    <w:rsid w:val="00C423DE"/>
    <w:rsid w:val="00C427FD"/>
    <w:rsid w:val="00C438BD"/>
    <w:rsid w:val="00C4546B"/>
    <w:rsid w:val="00C556C6"/>
    <w:rsid w:val="00C87ED7"/>
    <w:rsid w:val="00CA1984"/>
    <w:rsid w:val="00CA300A"/>
    <w:rsid w:val="00CA4F0D"/>
    <w:rsid w:val="00CB3657"/>
    <w:rsid w:val="00CB7AF1"/>
    <w:rsid w:val="00CC7137"/>
    <w:rsid w:val="00CD61BD"/>
    <w:rsid w:val="00CF0CE0"/>
    <w:rsid w:val="00CF467F"/>
    <w:rsid w:val="00D00590"/>
    <w:rsid w:val="00D03843"/>
    <w:rsid w:val="00D03A95"/>
    <w:rsid w:val="00D12210"/>
    <w:rsid w:val="00D163CE"/>
    <w:rsid w:val="00D20D41"/>
    <w:rsid w:val="00D20E80"/>
    <w:rsid w:val="00D30817"/>
    <w:rsid w:val="00D330BA"/>
    <w:rsid w:val="00D6579D"/>
    <w:rsid w:val="00D70A46"/>
    <w:rsid w:val="00D76FE3"/>
    <w:rsid w:val="00D82079"/>
    <w:rsid w:val="00D93AFB"/>
    <w:rsid w:val="00DA34C8"/>
    <w:rsid w:val="00DB497E"/>
    <w:rsid w:val="00DD2397"/>
    <w:rsid w:val="00E00AED"/>
    <w:rsid w:val="00E01AF9"/>
    <w:rsid w:val="00E024BE"/>
    <w:rsid w:val="00E25217"/>
    <w:rsid w:val="00E316B4"/>
    <w:rsid w:val="00E334D5"/>
    <w:rsid w:val="00E363B2"/>
    <w:rsid w:val="00E5449C"/>
    <w:rsid w:val="00E60FCD"/>
    <w:rsid w:val="00E76163"/>
    <w:rsid w:val="00E80693"/>
    <w:rsid w:val="00E90370"/>
    <w:rsid w:val="00E91EF5"/>
    <w:rsid w:val="00E9210A"/>
    <w:rsid w:val="00E96678"/>
    <w:rsid w:val="00E96B70"/>
    <w:rsid w:val="00EA7301"/>
    <w:rsid w:val="00EB3CAF"/>
    <w:rsid w:val="00EF1DE5"/>
    <w:rsid w:val="00F027E5"/>
    <w:rsid w:val="00F11A61"/>
    <w:rsid w:val="00F1508C"/>
    <w:rsid w:val="00F22CB6"/>
    <w:rsid w:val="00F237C2"/>
    <w:rsid w:val="00F33190"/>
    <w:rsid w:val="00F4522E"/>
    <w:rsid w:val="00F45F56"/>
    <w:rsid w:val="00F50F97"/>
    <w:rsid w:val="00F676F0"/>
    <w:rsid w:val="00F712CE"/>
    <w:rsid w:val="00F95C03"/>
    <w:rsid w:val="00FC01B7"/>
    <w:rsid w:val="00FC0910"/>
    <w:rsid w:val="00FC12EE"/>
    <w:rsid w:val="00FC1776"/>
    <w:rsid w:val="00FC64F0"/>
    <w:rsid w:val="00FD3814"/>
    <w:rsid w:val="00FD3CE4"/>
    <w:rsid w:val="00FE1528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7CEF"/>
  <w15:chartTrackingRefBased/>
  <w15:docId w15:val="{AEED82E4-3584-489E-B84B-0233AF9D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43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38B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p">
    <w:name w:val="cp"/>
    <w:basedOn w:val="a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C43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C438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C4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438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642A6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a8">
    <w:name w:val="Абзац списка Знак"/>
    <w:link w:val="a7"/>
    <w:locked/>
    <w:rsid w:val="00642A6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a9">
    <w:name w:val="Placeholder Text"/>
    <w:basedOn w:val="a0"/>
    <w:uiPriority w:val="99"/>
    <w:semiHidden/>
    <w:rsid w:val="001059B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6A1D2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A1D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A1D2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1D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A1D29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3439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">
    <w:name w:val="Revision"/>
    <w:hidden/>
    <w:uiPriority w:val="99"/>
    <w:semiHidden/>
    <w:rsid w:val="00413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re.md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mailto:anre@anre.m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pcom.ro/acasa/ro" TargetMode="External"/><Relationship Id="rId4" Type="http://schemas.openxmlformats.org/officeDocument/2006/relationships/settings" Target="settings.xml"/><Relationship Id="rId9" Type="http://schemas.openxmlformats.org/officeDocument/2006/relationships/hyperlink" Target="lex:HGHG20030321338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CC4F-7FD3-4FC6-9606-5DDFE7B6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6565</Words>
  <Characters>37421</Characters>
  <Application>Microsoft Office Word</Application>
  <DocSecurity>0</DocSecurity>
  <Lines>311</Lines>
  <Paragraphs>87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Sula</dc:creator>
  <cp:keywords/>
  <dc:description/>
  <cp:lastModifiedBy>Veaceslav Turcanu</cp:lastModifiedBy>
  <cp:revision>12</cp:revision>
  <cp:lastPrinted>2025-09-12T07:55:00Z</cp:lastPrinted>
  <dcterms:created xsi:type="dcterms:W3CDTF">2025-11-04T13:16:00Z</dcterms:created>
  <dcterms:modified xsi:type="dcterms:W3CDTF">2025-12-09T07:34:00Z</dcterms:modified>
</cp:coreProperties>
</file>